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BD29F" w14:textId="77777777" w:rsidR="00131827" w:rsidRDefault="00131827"/>
    <w:p w14:paraId="714C1AF7" w14:textId="77777777" w:rsidR="00131827" w:rsidRDefault="00131827"/>
    <w:p w14:paraId="0FB36394" w14:textId="77777777" w:rsidR="00131827" w:rsidRDefault="00131827"/>
    <w:p w14:paraId="6FFFE354" w14:textId="77777777" w:rsidR="00131827" w:rsidRDefault="00131827"/>
    <w:p w14:paraId="46C1010E" w14:textId="77777777" w:rsidR="00131827" w:rsidRDefault="00131827"/>
    <w:p w14:paraId="75525385" w14:textId="77777777" w:rsidR="00131827" w:rsidRDefault="00131827"/>
    <w:p w14:paraId="725B028F" w14:textId="77777777" w:rsidR="00131827" w:rsidRDefault="00131827"/>
    <w:p w14:paraId="287E21DC" w14:textId="77777777" w:rsidR="00131827" w:rsidRDefault="00131827"/>
    <w:p w14:paraId="09E5BCC8" w14:textId="77777777" w:rsidR="00131827" w:rsidRDefault="00131827"/>
    <w:p w14:paraId="4D87FF8D" w14:textId="77777777" w:rsidR="00131827" w:rsidRDefault="00131827"/>
    <w:p w14:paraId="75639538" w14:textId="77777777" w:rsidR="00131827" w:rsidRDefault="00131827"/>
    <w:p w14:paraId="08606CC0" w14:textId="77777777" w:rsidR="00131827" w:rsidRDefault="00131827"/>
    <w:p w14:paraId="7638A856" w14:textId="77777777" w:rsidR="00131827" w:rsidRDefault="00131827"/>
    <w:p w14:paraId="769ED9FC" w14:textId="77777777" w:rsidR="00131827" w:rsidRDefault="00131827"/>
    <w:p w14:paraId="471D845E" w14:textId="77777777" w:rsidR="00131827" w:rsidRDefault="00131827"/>
    <w:p w14:paraId="526BF2AC" w14:textId="77777777" w:rsidR="00131827" w:rsidRDefault="00131827"/>
    <w:p w14:paraId="1249993D" w14:textId="77777777" w:rsidR="00B91182" w:rsidRPr="00144B0D" w:rsidRDefault="00131827" w:rsidP="00144B0D">
      <w:pPr>
        <w:pStyle w:val="Heading1"/>
        <w:jc w:val="center"/>
        <w:rPr>
          <w:color w:val="auto"/>
        </w:rPr>
      </w:pPr>
      <w:r w:rsidRPr="00144B0D">
        <w:rPr>
          <w:color w:val="auto"/>
        </w:rPr>
        <w:t xml:space="preserve">Florida </w:t>
      </w:r>
      <w:r w:rsidR="009F2C63" w:rsidRPr="00144B0D">
        <w:rPr>
          <w:color w:val="auto"/>
        </w:rPr>
        <w:t>Ecological Risk Assessment</w:t>
      </w:r>
      <w:r w:rsidRPr="00144B0D">
        <w:rPr>
          <w:color w:val="auto"/>
        </w:rPr>
        <w:t xml:space="preserve"> Guidance</w:t>
      </w:r>
      <w:r w:rsidR="00127595" w:rsidRPr="00144B0D">
        <w:rPr>
          <w:color w:val="auto"/>
        </w:rPr>
        <w:t xml:space="preserve"> Document</w:t>
      </w:r>
      <w:bookmarkStart w:id="0" w:name="_GoBack"/>
      <w:bookmarkEnd w:id="0"/>
    </w:p>
    <w:p w14:paraId="2C886A17" w14:textId="77777777" w:rsidR="00127595" w:rsidRDefault="00127595" w:rsidP="00131827">
      <w:pPr>
        <w:jc w:val="center"/>
        <w:rPr>
          <w:sz w:val="28"/>
          <w:szCs w:val="28"/>
        </w:rPr>
      </w:pPr>
    </w:p>
    <w:p w14:paraId="085ABF4A" w14:textId="77777777" w:rsidR="00127595" w:rsidRDefault="00127595" w:rsidP="00131827">
      <w:pPr>
        <w:jc w:val="center"/>
        <w:rPr>
          <w:sz w:val="28"/>
          <w:szCs w:val="28"/>
        </w:rPr>
      </w:pPr>
    </w:p>
    <w:p w14:paraId="1C691F93" w14:textId="77777777" w:rsidR="00127595" w:rsidRDefault="00127595" w:rsidP="00131827">
      <w:pPr>
        <w:jc w:val="center"/>
        <w:rPr>
          <w:sz w:val="28"/>
          <w:szCs w:val="28"/>
        </w:rPr>
      </w:pPr>
    </w:p>
    <w:p w14:paraId="07ED0BE5" w14:textId="77777777" w:rsidR="00127595" w:rsidRDefault="00127595" w:rsidP="00131827">
      <w:pPr>
        <w:jc w:val="center"/>
        <w:rPr>
          <w:sz w:val="28"/>
          <w:szCs w:val="28"/>
        </w:rPr>
      </w:pPr>
    </w:p>
    <w:p w14:paraId="2BEDFA3A" w14:textId="77777777" w:rsidR="00127595" w:rsidRDefault="00127595" w:rsidP="00131827">
      <w:pPr>
        <w:jc w:val="center"/>
        <w:rPr>
          <w:sz w:val="28"/>
          <w:szCs w:val="28"/>
        </w:rPr>
      </w:pPr>
    </w:p>
    <w:p w14:paraId="63A55916" w14:textId="77777777" w:rsidR="00127595" w:rsidRDefault="00127595" w:rsidP="00131827">
      <w:pPr>
        <w:jc w:val="center"/>
        <w:rPr>
          <w:sz w:val="28"/>
          <w:szCs w:val="28"/>
        </w:rPr>
      </w:pPr>
    </w:p>
    <w:p w14:paraId="59578EE9" w14:textId="77777777" w:rsidR="00127595" w:rsidRDefault="00127595" w:rsidP="00131827">
      <w:pPr>
        <w:jc w:val="center"/>
        <w:rPr>
          <w:sz w:val="28"/>
          <w:szCs w:val="28"/>
        </w:rPr>
      </w:pPr>
    </w:p>
    <w:p w14:paraId="0F126C65" w14:textId="77777777" w:rsidR="00127595" w:rsidRDefault="00127595" w:rsidP="00131827">
      <w:pPr>
        <w:jc w:val="center"/>
        <w:rPr>
          <w:sz w:val="28"/>
          <w:szCs w:val="28"/>
        </w:rPr>
      </w:pPr>
    </w:p>
    <w:p w14:paraId="50D519CF" w14:textId="77777777" w:rsidR="00127595" w:rsidRDefault="00127595" w:rsidP="00131827">
      <w:pPr>
        <w:jc w:val="center"/>
        <w:rPr>
          <w:sz w:val="28"/>
          <w:szCs w:val="28"/>
        </w:rPr>
      </w:pPr>
    </w:p>
    <w:p w14:paraId="1A4C001B" w14:textId="77777777" w:rsidR="00127595" w:rsidRDefault="00127595" w:rsidP="00131827">
      <w:pPr>
        <w:jc w:val="center"/>
        <w:rPr>
          <w:sz w:val="28"/>
          <w:szCs w:val="28"/>
        </w:rPr>
      </w:pPr>
    </w:p>
    <w:p w14:paraId="70ACC07B" w14:textId="77777777" w:rsidR="00127595" w:rsidRDefault="00127595" w:rsidP="00131827">
      <w:pPr>
        <w:jc w:val="center"/>
        <w:rPr>
          <w:sz w:val="28"/>
          <w:szCs w:val="28"/>
        </w:rPr>
      </w:pPr>
    </w:p>
    <w:p w14:paraId="2E612320" w14:textId="77777777" w:rsidR="00127595" w:rsidRDefault="00127595" w:rsidP="00131827">
      <w:pPr>
        <w:jc w:val="center"/>
        <w:rPr>
          <w:sz w:val="28"/>
          <w:szCs w:val="28"/>
        </w:rPr>
      </w:pPr>
    </w:p>
    <w:p w14:paraId="5F8D4097" w14:textId="77777777" w:rsidR="00127595" w:rsidRDefault="00127595" w:rsidP="00131827">
      <w:pPr>
        <w:jc w:val="center"/>
        <w:rPr>
          <w:sz w:val="28"/>
          <w:szCs w:val="28"/>
        </w:rPr>
      </w:pPr>
    </w:p>
    <w:p w14:paraId="48F3C303" w14:textId="77777777" w:rsidR="00127595" w:rsidRDefault="00127595" w:rsidP="00131827">
      <w:pPr>
        <w:jc w:val="center"/>
        <w:rPr>
          <w:sz w:val="28"/>
          <w:szCs w:val="28"/>
        </w:rPr>
      </w:pPr>
    </w:p>
    <w:p w14:paraId="4A8D21FB" w14:textId="77777777" w:rsidR="00127595" w:rsidRDefault="00127595" w:rsidP="00131827">
      <w:pPr>
        <w:jc w:val="center"/>
        <w:rPr>
          <w:sz w:val="28"/>
          <w:szCs w:val="28"/>
        </w:rPr>
      </w:pPr>
    </w:p>
    <w:p w14:paraId="235D767F" w14:textId="77777777" w:rsidR="00127595" w:rsidRDefault="00127595" w:rsidP="00131827">
      <w:pPr>
        <w:jc w:val="center"/>
        <w:rPr>
          <w:sz w:val="28"/>
          <w:szCs w:val="28"/>
        </w:rPr>
      </w:pPr>
    </w:p>
    <w:p w14:paraId="5397B795" w14:textId="77777777" w:rsidR="00127595" w:rsidRDefault="00127595" w:rsidP="00131827">
      <w:pPr>
        <w:jc w:val="center"/>
        <w:rPr>
          <w:sz w:val="28"/>
          <w:szCs w:val="28"/>
        </w:rPr>
      </w:pPr>
    </w:p>
    <w:p w14:paraId="7E6AB9F9" w14:textId="77777777" w:rsidR="00127595" w:rsidRDefault="00127595" w:rsidP="00131827">
      <w:pPr>
        <w:jc w:val="center"/>
        <w:rPr>
          <w:sz w:val="28"/>
          <w:szCs w:val="28"/>
        </w:rPr>
      </w:pPr>
    </w:p>
    <w:p w14:paraId="5F6D8668" w14:textId="77777777" w:rsidR="00127595" w:rsidRPr="005902F4" w:rsidRDefault="00127595" w:rsidP="00131827">
      <w:pPr>
        <w:jc w:val="center"/>
        <w:rPr>
          <w:rFonts w:ascii="Arial" w:hAnsi="Arial"/>
          <w:sz w:val="28"/>
          <w:szCs w:val="28"/>
        </w:rPr>
      </w:pPr>
      <w:r w:rsidRPr="005902F4">
        <w:rPr>
          <w:rFonts w:ascii="Arial" w:hAnsi="Arial"/>
          <w:sz w:val="28"/>
          <w:szCs w:val="28"/>
        </w:rPr>
        <w:t>DRAFT</w:t>
      </w:r>
    </w:p>
    <w:p w14:paraId="07CA34DA" w14:textId="24D622E7" w:rsidR="00127595" w:rsidRPr="005902F4" w:rsidRDefault="00B13D36" w:rsidP="00131827">
      <w:pPr>
        <w:jc w:val="center"/>
        <w:rPr>
          <w:rFonts w:ascii="Arial" w:hAnsi="Arial"/>
          <w:sz w:val="22"/>
          <w:szCs w:val="22"/>
        </w:rPr>
      </w:pPr>
      <w:r>
        <w:rPr>
          <w:rFonts w:ascii="Arial" w:hAnsi="Arial"/>
          <w:sz w:val="22"/>
          <w:szCs w:val="22"/>
        </w:rPr>
        <w:t>April 11</w:t>
      </w:r>
      <w:r w:rsidR="00127595" w:rsidRPr="005902F4">
        <w:rPr>
          <w:rFonts w:ascii="Arial" w:hAnsi="Arial"/>
          <w:sz w:val="22"/>
          <w:szCs w:val="22"/>
        </w:rPr>
        <w:t>, 2014</w:t>
      </w:r>
    </w:p>
    <w:p w14:paraId="735A4657" w14:textId="77777777" w:rsidR="009F2C63" w:rsidRDefault="00131827" w:rsidP="00127595">
      <w:pPr>
        <w:jc w:val="center"/>
      </w:pPr>
      <w:r>
        <w:br w:type="page"/>
      </w:r>
    </w:p>
    <w:p w14:paraId="69496BD1" w14:textId="77777777" w:rsidR="00D37E58" w:rsidRPr="005902F4" w:rsidRDefault="00D37E58" w:rsidP="007C3F18">
      <w:pPr>
        <w:jc w:val="both"/>
        <w:rPr>
          <w:rFonts w:ascii="Arial" w:hAnsi="Arial"/>
          <w:b/>
          <w:sz w:val="22"/>
          <w:szCs w:val="22"/>
        </w:rPr>
      </w:pPr>
      <w:r w:rsidRPr="005902F4">
        <w:rPr>
          <w:rFonts w:ascii="Arial" w:hAnsi="Arial"/>
          <w:b/>
          <w:sz w:val="22"/>
          <w:szCs w:val="22"/>
        </w:rPr>
        <w:lastRenderedPageBreak/>
        <w:t>1</w:t>
      </w:r>
      <w:r w:rsidR="00E93E53">
        <w:rPr>
          <w:rFonts w:ascii="Arial" w:hAnsi="Arial"/>
          <w:b/>
          <w:sz w:val="22"/>
          <w:szCs w:val="22"/>
        </w:rPr>
        <w:t>.</w:t>
      </w:r>
      <w:r w:rsidRPr="005902F4">
        <w:rPr>
          <w:rFonts w:ascii="Arial" w:hAnsi="Arial"/>
          <w:b/>
          <w:sz w:val="22"/>
          <w:szCs w:val="22"/>
        </w:rPr>
        <w:t xml:space="preserve"> Introduction</w:t>
      </w:r>
    </w:p>
    <w:p w14:paraId="40BA26A3" w14:textId="77777777" w:rsidR="00D37E58" w:rsidRPr="005902F4" w:rsidRDefault="00D37E58" w:rsidP="007C3F18">
      <w:pPr>
        <w:jc w:val="both"/>
        <w:rPr>
          <w:rFonts w:ascii="Arial" w:hAnsi="Arial"/>
          <w:b/>
          <w:sz w:val="22"/>
          <w:szCs w:val="22"/>
        </w:rPr>
      </w:pPr>
    </w:p>
    <w:p w14:paraId="406922C4" w14:textId="77777777" w:rsidR="00D37E58" w:rsidRPr="005902F4" w:rsidRDefault="00D37E58" w:rsidP="007C3F18">
      <w:pPr>
        <w:jc w:val="both"/>
        <w:rPr>
          <w:rFonts w:ascii="Arial" w:hAnsi="Arial"/>
          <w:i/>
          <w:sz w:val="22"/>
          <w:szCs w:val="22"/>
        </w:rPr>
      </w:pPr>
      <w:r w:rsidRPr="005902F4">
        <w:rPr>
          <w:rFonts w:ascii="Arial" w:hAnsi="Arial"/>
          <w:i/>
          <w:sz w:val="22"/>
          <w:szCs w:val="22"/>
        </w:rPr>
        <w:t>1.1 Purpose and Applicability</w:t>
      </w:r>
    </w:p>
    <w:p w14:paraId="1C679418" w14:textId="77777777" w:rsidR="00D37E58" w:rsidRPr="005902F4" w:rsidRDefault="000E2FB4" w:rsidP="007C3F18">
      <w:pPr>
        <w:jc w:val="both"/>
        <w:rPr>
          <w:rFonts w:ascii="Arial" w:hAnsi="Arial"/>
          <w:sz w:val="22"/>
          <w:szCs w:val="22"/>
        </w:rPr>
      </w:pPr>
      <w:r w:rsidRPr="005902F4">
        <w:rPr>
          <w:rFonts w:ascii="Arial" w:hAnsi="Arial"/>
          <w:sz w:val="22"/>
          <w:szCs w:val="22"/>
        </w:rPr>
        <w:tab/>
      </w:r>
    </w:p>
    <w:p w14:paraId="4CA91CDB" w14:textId="77777777" w:rsidR="000E2FB4" w:rsidRPr="005902F4" w:rsidRDefault="000E2FB4" w:rsidP="00D37E58">
      <w:pPr>
        <w:ind w:firstLine="720"/>
        <w:jc w:val="both"/>
        <w:rPr>
          <w:rFonts w:ascii="Arial" w:hAnsi="Arial"/>
          <w:sz w:val="22"/>
          <w:szCs w:val="22"/>
        </w:rPr>
      </w:pPr>
      <w:r w:rsidRPr="005902F4">
        <w:rPr>
          <w:rFonts w:ascii="Arial" w:hAnsi="Arial"/>
          <w:sz w:val="22"/>
          <w:szCs w:val="22"/>
        </w:rPr>
        <w:t xml:space="preserve">The Florida Ecological Risk Assessment Guidance </w:t>
      </w:r>
      <w:r w:rsidR="00EB6E2E">
        <w:rPr>
          <w:rFonts w:ascii="Arial" w:hAnsi="Arial"/>
          <w:sz w:val="22"/>
          <w:szCs w:val="22"/>
        </w:rPr>
        <w:t>is</w:t>
      </w:r>
      <w:r w:rsidR="00EB6E2E" w:rsidRPr="005902F4">
        <w:rPr>
          <w:rFonts w:ascii="Arial" w:hAnsi="Arial"/>
          <w:sz w:val="22"/>
          <w:szCs w:val="22"/>
        </w:rPr>
        <w:t xml:space="preserve"> </w:t>
      </w:r>
      <w:r w:rsidR="007C3F18" w:rsidRPr="005902F4">
        <w:rPr>
          <w:rFonts w:ascii="Arial" w:hAnsi="Arial"/>
          <w:sz w:val="22"/>
          <w:szCs w:val="22"/>
        </w:rPr>
        <w:t xml:space="preserve">intended </w:t>
      </w:r>
      <w:r w:rsidR="00F90A27" w:rsidRPr="005902F4">
        <w:rPr>
          <w:rFonts w:ascii="Arial" w:hAnsi="Arial"/>
          <w:sz w:val="22"/>
          <w:szCs w:val="22"/>
        </w:rPr>
        <w:t>as a technical guidance for</w:t>
      </w:r>
      <w:r w:rsidR="00F857B5" w:rsidRPr="005902F4">
        <w:rPr>
          <w:rFonts w:ascii="Arial" w:hAnsi="Arial"/>
          <w:sz w:val="22"/>
          <w:szCs w:val="22"/>
        </w:rPr>
        <w:t xml:space="preserve"> the evaluation of ecological risk</w:t>
      </w:r>
      <w:r w:rsidR="007C3F18" w:rsidRPr="005902F4">
        <w:rPr>
          <w:rFonts w:ascii="Arial" w:hAnsi="Arial"/>
          <w:sz w:val="22"/>
          <w:szCs w:val="22"/>
        </w:rPr>
        <w:t>.</w:t>
      </w:r>
      <w:r w:rsidR="00F857B5" w:rsidRPr="005902F4">
        <w:rPr>
          <w:rFonts w:ascii="Arial" w:hAnsi="Arial"/>
          <w:sz w:val="22"/>
          <w:szCs w:val="22"/>
        </w:rPr>
        <w:t xml:space="preserve">  </w:t>
      </w:r>
      <w:r w:rsidR="000D2144" w:rsidRPr="005902F4">
        <w:rPr>
          <w:rFonts w:ascii="Arial" w:hAnsi="Arial"/>
          <w:sz w:val="22"/>
          <w:szCs w:val="22"/>
        </w:rPr>
        <w:t xml:space="preserve">The guidance does not </w:t>
      </w:r>
      <w:r w:rsidR="00A2215F" w:rsidRPr="005902F4">
        <w:rPr>
          <w:rFonts w:ascii="Arial" w:hAnsi="Arial"/>
          <w:sz w:val="22"/>
          <w:szCs w:val="22"/>
        </w:rPr>
        <w:t>suggest or support an</w:t>
      </w:r>
      <w:r w:rsidR="000D2144" w:rsidRPr="005902F4">
        <w:rPr>
          <w:rFonts w:ascii="Arial" w:hAnsi="Arial"/>
          <w:sz w:val="22"/>
          <w:szCs w:val="22"/>
        </w:rPr>
        <w:t xml:space="preserve"> evaluation of ecological </w:t>
      </w:r>
      <w:r w:rsidR="00A2215F" w:rsidRPr="005902F4">
        <w:rPr>
          <w:rFonts w:ascii="Arial" w:hAnsi="Arial"/>
          <w:sz w:val="22"/>
          <w:szCs w:val="22"/>
        </w:rPr>
        <w:t xml:space="preserve">risk at all sites; rather it provides technical </w:t>
      </w:r>
      <w:r w:rsidR="006178BD" w:rsidRPr="005902F4">
        <w:rPr>
          <w:rFonts w:ascii="Arial" w:hAnsi="Arial"/>
          <w:sz w:val="22"/>
          <w:szCs w:val="22"/>
        </w:rPr>
        <w:t>instruction</w:t>
      </w:r>
      <w:r w:rsidR="00A2215F" w:rsidRPr="005902F4">
        <w:rPr>
          <w:rFonts w:ascii="Arial" w:hAnsi="Arial"/>
          <w:sz w:val="22"/>
          <w:szCs w:val="22"/>
        </w:rPr>
        <w:t xml:space="preserve"> </w:t>
      </w:r>
      <w:r w:rsidR="00AA1E21" w:rsidRPr="005902F4">
        <w:rPr>
          <w:rFonts w:ascii="Arial" w:hAnsi="Arial"/>
          <w:sz w:val="22"/>
          <w:szCs w:val="22"/>
        </w:rPr>
        <w:t>applicable</w:t>
      </w:r>
      <w:r w:rsidR="00A2215F" w:rsidRPr="005902F4">
        <w:rPr>
          <w:rFonts w:ascii="Arial" w:hAnsi="Arial"/>
          <w:sz w:val="22"/>
          <w:szCs w:val="22"/>
        </w:rPr>
        <w:t xml:space="preserve"> </w:t>
      </w:r>
      <w:r w:rsidR="00AA1E21" w:rsidRPr="005902F4">
        <w:rPr>
          <w:rFonts w:ascii="Arial" w:hAnsi="Arial"/>
          <w:sz w:val="22"/>
          <w:szCs w:val="22"/>
        </w:rPr>
        <w:t>when</w:t>
      </w:r>
      <w:r w:rsidR="00A2215F" w:rsidRPr="005902F4">
        <w:rPr>
          <w:rFonts w:ascii="Arial" w:hAnsi="Arial"/>
          <w:sz w:val="22"/>
          <w:szCs w:val="22"/>
        </w:rPr>
        <w:t xml:space="preserve"> an ecological risk assessment is </w:t>
      </w:r>
      <w:r w:rsidR="00EB6E2E">
        <w:rPr>
          <w:rFonts w:ascii="Arial" w:hAnsi="Arial"/>
          <w:sz w:val="22"/>
          <w:szCs w:val="22"/>
        </w:rPr>
        <w:t>warranted</w:t>
      </w:r>
      <w:r w:rsidR="00A2215F" w:rsidRPr="005902F4">
        <w:rPr>
          <w:rFonts w:ascii="Arial" w:hAnsi="Arial"/>
          <w:sz w:val="22"/>
          <w:szCs w:val="22"/>
        </w:rPr>
        <w:t>.</w:t>
      </w:r>
      <w:r w:rsidR="000F7FA5" w:rsidRPr="005902F4">
        <w:rPr>
          <w:rFonts w:ascii="Arial" w:hAnsi="Arial"/>
          <w:sz w:val="22"/>
          <w:szCs w:val="22"/>
        </w:rPr>
        <w:t xml:space="preserve">  Although other ecological risk methodologies are available, this guidance has been developed specifically for the State of Florida.</w:t>
      </w:r>
    </w:p>
    <w:p w14:paraId="0EC4E9FC" w14:textId="77777777" w:rsidR="001A742E" w:rsidRPr="005902F4" w:rsidRDefault="001A742E" w:rsidP="007C3F18">
      <w:pPr>
        <w:jc w:val="both"/>
        <w:rPr>
          <w:rFonts w:ascii="Arial" w:hAnsi="Arial"/>
          <w:sz w:val="22"/>
          <w:szCs w:val="22"/>
        </w:rPr>
      </w:pPr>
    </w:p>
    <w:p w14:paraId="335115A8" w14:textId="77777777" w:rsidR="001A742E" w:rsidRPr="005902F4" w:rsidRDefault="001A742E" w:rsidP="007C3F18">
      <w:pPr>
        <w:jc w:val="both"/>
        <w:rPr>
          <w:rFonts w:ascii="Arial" w:hAnsi="Arial"/>
          <w:sz w:val="22"/>
          <w:szCs w:val="22"/>
        </w:rPr>
      </w:pPr>
      <w:r w:rsidRPr="005902F4">
        <w:rPr>
          <w:rFonts w:ascii="Arial" w:hAnsi="Arial"/>
          <w:sz w:val="22"/>
          <w:szCs w:val="22"/>
        </w:rPr>
        <w:tab/>
        <w:t>This guidance follows the three-tiered approach outlined in the guide for risk-based corrective action for the protection of ecological resources (Eco-RBCA) (ASTM, 2009).</w:t>
      </w:r>
      <w:r w:rsidR="00C27AED" w:rsidRPr="005902F4">
        <w:rPr>
          <w:rFonts w:ascii="Arial" w:hAnsi="Arial"/>
          <w:sz w:val="22"/>
          <w:szCs w:val="22"/>
        </w:rPr>
        <w:t xml:space="preserve">  </w:t>
      </w:r>
      <w:r w:rsidR="00E76D05" w:rsidRPr="005902F4">
        <w:rPr>
          <w:rFonts w:ascii="Arial" w:hAnsi="Arial"/>
          <w:sz w:val="22"/>
          <w:szCs w:val="22"/>
        </w:rPr>
        <w:t>This approach</w:t>
      </w:r>
      <w:r w:rsidR="00C27AED" w:rsidRPr="005902F4">
        <w:rPr>
          <w:rFonts w:ascii="Arial" w:hAnsi="Arial"/>
          <w:sz w:val="22"/>
          <w:szCs w:val="22"/>
        </w:rPr>
        <w:t xml:space="preserve"> is intended to be consistent with the </w:t>
      </w:r>
      <w:r w:rsidR="00E76D05" w:rsidRPr="005902F4">
        <w:rPr>
          <w:rFonts w:ascii="Arial" w:hAnsi="Arial"/>
          <w:sz w:val="22"/>
          <w:szCs w:val="22"/>
        </w:rPr>
        <w:t>8-step process outlined in the US EPA’s Ecological Risk Assessment Guidance for</w:t>
      </w:r>
      <w:r w:rsidR="00FA0304" w:rsidRPr="005902F4">
        <w:rPr>
          <w:rFonts w:ascii="Arial" w:hAnsi="Arial"/>
          <w:sz w:val="22"/>
          <w:szCs w:val="22"/>
        </w:rPr>
        <w:t xml:space="preserve"> Superfund (1997).  </w:t>
      </w:r>
      <w:r w:rsidR="00471345">
        <w:rPr>
          <w:rFonts w:ascii="Arial" w:hAnsi="Arial"/>
          <w:sz w:val="22"/>
          <w:szCs w:val="22"/>
        </w:rPr>
        <w:t xml:space="preserve">Figure 1 shows the approximate relationship between the Eco-RBCA and US EPA processes.  </w:t>
      </w:r>
      <w:r w:rsidR="00FA0304" w:rsidRPr="005902F4">
        <w:rPr>
          <w:rFonts w:ascii="Arial" w:hAnsi="Arial"/>
          <w:sz w:val="22"/>
          <w:szCs w:val="22"/>
        </w:rPr>
        <w:t>Although this</w:t>
      </w:r>
      <w:r w:rsidR="00E76D05" w:rsidRPr="005902F4">
        <w:rPr>
          <w:rFonts w:ascii="Arial" w:hAnsi="Arial"/>
          <w:sz w:val="22"/>
          <w:szCs w:val="22"/>
        </w:rPr>
        <w:t xml:space="preserve"> guidance is organized into Tiers, </w:t>
      </w:r>
      <w:r w:rsidR="009574EB" w:rsidRPr="005902F4">
        <w:rPr>
          <w:rFonts w:ascii="Arial" w:hAnsi="Arial"/>
          <w:sz w:val="22"/>
          <w:szCs w:val="22"/>
        </w:rPr>
        <w:t xml:space="preserve">the wide variety of needs and goals for ecological habitat in Florida necessitate a flexible approach.  </w:t>
      </w:r>
      <w:r w:rsidR="00436E45" w:rsidRPr="005902F4">
        <w:rPr>
          <w:rFonts w:ascii="Arial" w:hAnsi="Arial"/>
          <w:sz w:val="22"/>
          <w:szCs w:val="22"/>
        </w:rPr>
        <w:t>Use of this</w:t>
      </w:r>
      <w:r w:rsidR="009574EB" w:rsidRPr="005902F4">
        <w:rPr>
          <w:rFonts w:ascii="Arial" w:hAnsi="Arial"/>
          <w:sz w:val="22"/>
          <w:szCs w:val="22"/>
        </w:rPr>
        <w:t xml:space="preserve"> guidance does not </w:t>
      </w:r>
      <w:r w:rsidR="00DE2CD6" w:rsidRPr="005902F4">
        <w:rPr>
          <w:rFonts w:ascii="Arial" w:hAnsi="Arial"/>
          <w:sz w:val="22"/>
          <w:szCs w:val="22"/>
        </w:rPr>
        <w:t>necessitate</w:t>
      </w:r>
      <w:r w:rsidR="00E20F24" w:rsidRPr="005902F4">
        <w:rPr>
          <w:rFonts w:ascii="Arial" w:hAnsi="Arial"/>
          <w:sz w:val="22"/>
          <w:szCs w:val="22"/>
        </w:rPr>
        <w:t xml:space="preserve"> implementation</w:t>
      </w:r>
      <w:r w:rsidR="009574EB" w:rsidRPr="005902F4">
        <w:rPr>
          <w:rFonts w:ascii="Arial" w:hAnsi="Arial"/>
          <w:sz w:val="22"/>
          <w:szCs w:val="22"/>
        </w:rPr>
        <w:t xml:space="preserve"> in a step-wise fashion </w:t>
      </w:r>
      <w:r w:rsidR="00436E45" w:rsidRPr="005902F4">
        <w:rPr>
          <w:rFonts w:ascii="Arial" w:hAnsi="Arial"/>
          <w:sz w:val="22"/>
          <w:szCs w:val="22"/>
        </w:rPr>
        <w:t>or the inclusion of all steps</w:t>
      </w:r>
      <w:r w:rsidR="009574EB" w:rsidRPr="005902F4">
        <w:rPr>
          <w:rFonts w:ascii="Arial" w:hAnsi="Arial"/>
          <w:sz w:val="22"/>
          <w:szCs w:val="22"/>
        </w:rPr>
        <w:t>.</w:t>
      </w:r>
    </w:p>
    <w:p w14:paraId="48B88ED8" w14:textId="77777777" w:rsidR="000E2FB4" w:rsidRDefault="000E2FB4" w:rsidP="007C3F18">
      <w:pPr>
        <w:jc w:val="both"/>
        <w:rPr>
          <w:rFonts w:ascii="Arial" w:hAnsi="Arial"/>
          <w:sz w:val="22"/>
          <w:szCs w:val="22"/>
        </w:rPr>
      </w:pPr>
    </w:p>
    <w:p w14:paraId="6B4CD2E0" w14:textId="77777777" w:rsidR="000D1CF7" w:rsidRDefault="00227102" w:rsidP="007C3F18">
      <w:pPr>
        <w:jc w:val="both"/>
        <w:rPr>
          <w:rFonts w:ascii="Arial" w:hAnsi="Arial"/>
          <w:sz w:val="22"/>
          <w:szCs w:val="22"/>
        </w:rPr>
      </w:pPr>
      <w:r w:rsidRPr="00B87739">
        <w:rPr>
          <w:rFonts w:ascii="Arial" w:hAnsi="Arial"/>
          <w:noProof/>
          <w:sz w:val="22"/>
          <w:szCs w:val="22"/>
        </w:rPr>
        <w:drawing>
          <wp:inline distT="0" distB="0" distL="0" distR="0" wp14:anchorId="2F8FE990" wp14:editId="6825DDAC">
            <wp:extent cx="4287520" cy="4811395"/>
            <wp:effectExtent l="0" t="0" r="0" b="0"/>
            <wp:docPr id="9" name="Picture 9" descr="Eco Risk Guidance" title="Eco Risk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l="19816" r="2028"/>
                    <a:stretch/>
                  </pic:blipFill>
                  <pic:spPr bwMode="auto">
                    <a:xfrm>
                      <a:off x="0" y="0"/>
                      <a:ext cx="4287520" cy="481139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D42D67B" w14:textId="77777777" w:rsidR="008C4217" w:rsidRDefault="008C4217" w:rsidP="007C3F18">
      <w:pPr>
        <w:jc w:val="both"/>
        <w:rPr>
          <w:rFonts w:ascii="Arial" w:hAnsi="Arial"/>
          <w:sz w:val="22"/>
          <w:szCs w:val="22"/>
        </w:rPr>
      </w:pPr>
      <w:r>
        <w:rPr>
          <w:rFonts w:ascii="Arial" w:hAnsi="Arial"/>
          <w:sz w:val="22"/>
          <w:szCs w:val="22"/>
        </w:rPr>
        <w:t>Figure 1 – Relationship between the Eco-RBCA and US EPA ERAGS processes</w:t>
      </w:r>
    </w:p>
    <w:p w14:paraId="082B174F" w14:textId="77777777" w:rsidR="000D1CF7" w:rsidRPr="005902F4" w:rsidRDefault="000D1CF7" w:rsidP="007C3F18">
      <w:pPr>
        <w:jc w:val="both"/>
        <w:rPr>
          <w:rFonts w:ascii="Arial" w:hAnsi="Arial"/>
          <w:sz w:val="22"/>
          <w:szCs w:val="22"/>
        </w:rPr>
      </w:pPr>
    </w:p>
    <w:p w14:paraId="7829F774" w14:textId="77777777" w:rsidR="000E2FB4" w:rsidRPr="005902F4" w:rsidRDefault="00D37E58" w:rsidP="007C3F18">
      <w:pPr>
        <w:jc w:val="both"/>
        <w:rPr>
          <w:rFonts w:ascii="Arial" w:hAnsi="Arial"/>
          <w:i/>
          <w:sz w:val="22"/>
          <w:szCs w:val="22"/>
        </w:rPr>
      </w:pPr>
      <w:r w:rsidRPr="005902F4">
        <w:rPr>
          <w:rFonts w:ascii="Arial" w:hAnsi="Arial"/>
          <w:i/>
          <w:sz w:val="22"/>
          <w:szCs w:val="22"/>
        </w:rPr>
        <w:t>1.2 Scoping</w:t>
      </w:r>
    </w:p>
    <w:p w14:paraId="7D072176" w14:textId="77777777" w:rsidR="00D37E58" w:rsidRPr="005902F4" w:rsidRDefault="00D37E58" w:rsidP="007C3F18">
      <w:pPr>
        <w:jc w:val="both"/>
        <w:rPr>
          <w:rFonts w:ascii="Arial" w:hAnsi="Arial"/>
          <w:i/>
          <w:sz w:val="22"/>
          <w:szCs w:val="22"/>
        </w:rPr>
      </w:pPr>
    </w:p>
    <w:p w14:paraId="159BA3AE" w14:textId="77777777" w:rsidR="00D37E58" w:rsidRPr="005902F4" w:rsidRDefault="00D37E58" w:rsidP="00B00A0A">
      <w:pPr>
        <w:jc w:val="both"/>
        <w:rPr>
          <w:rFonts w:ascii="Arial" w:hAnsi="Arial"/>
          <w:sz w:val="22"/>
          <w:szCs w:val="22"/>
        </w:rPr>
      </w:pPr>
      <w:r w:rsidRPr="005902F4">
        <w:rPr>
          <w:rFonts w:ascii="Arial" w:hAnsi="Arial"/>
          <w:sz w:val="22"/>
          <w:szCs w:val="22"/>
        </w:rPr>
        <w:tab/>
        <w:t xml:space="preserve">The purpose of </w:t>
      </w:r>
      <w:r w:rsidR="005E6A11" w:rsidRPr="005902F4">
        <w:rPr>
          <w:rFonts w:ascii="Arial" w:hAnsi="Arial"/>
          <w:sz w:val="22"/>
          <w:szCs w:val="22"/>
        </w:rPr>
        <w:t xml:space="preserve">the </w:t>
      </w:r>
      <w:r w:rsidRPr="005902F4">
        <w:rPr>
          <w:rFonts w:ascii="Arial" w:hAnsi="Arial"/>
          <w:sz w:val="22"/>
          <w:szCs w:val="22"/>
        </w:rPr>
        <w:t>scoping</w:t>
      </w:r>
      <w:r w:rsidR="005E6A11" w:rsidRPr="005902F4">
        <w:rPr>
          <w:rFonts w:ascii="Arial" w:hAnsi="Arial"/>
          <w:sz w:val="22"/>
          <w:szCs w:val="22"/>
        </w:rPr>
        <w:t xml:space="preserve"> section</w:t>
      </w:r>
      <w:r w:rsidRPr="005902F4">
        <w:rPr>
          <w:rFonts w:ascii="Arial" w:hAnsi="Arial"/>
          <w:sz w:val="22"/>
          <w:szCs w:val="22"/>
        </w:rPr>
        <w:t xml:space="preserve"> is to determine if an ecological risk assessment is necessary at the site.</w:t>
      </w:r>
      <w:r w:rsidR="00A77160" w:rsidRPr="005902F4">
        <w:rPr>
          <w:rFonts w:ascii="Arial" w:hAnsi="Arial"/>
          <w:sz w:val="22"/>
          <w:szCs w:val="22"/>
        </w:rPr>
        <w:t xml:space="preserve">  Assessment of ecological risk is not critical at sites with little or no exposure for ecological receptors.  Considerations include:</w:t>
      </w:r>
    </w:p>
    <w:p w14:paraId="0EE30EC6" w14:textId="77777777" w:rsidR="00A77160" w:rsidRPr="005902F4" w:rsidRDefault="00A77160" w:rsidP="00B00A0A">
      <w:pPr>
        <w:jc w:val="both"/>
        <w:rPr>
          <w:rFonts w:ascii="Arial" w:hAnsi="Arial"/>
          <w:sz w:val="22"/>
          <w:szCs w:val="22"/>
        </w:rPr>
      </w:pPr>
    </w:p>
    <w:p w14:paraId="37BA7D20" w14:textId="77777777" w:rsidR="00A77160" w:rsidRPr="005902F4" w:rsidRDefault="00A77160" w:rsidP="00B00A0A">
      <w:pPr>
        <w:pStyle w:val="ListParagraph"/>
        <w:numPr>
          <w:ilvl w:val="0"/>
          <w:numId w:val="3"/>
        </w:numPr>
        <w:jc w:val="both"/>
        <w:rPr>
          <w:rFonts w:ascii="Arial" w:hAnsi="Arial"/>
          <w:sz w:val="22"/>
          <w:szCs w:val="22"/>
        </w:rPr>
      </w:pPr>
      <w:r w:rsidRPr="005902F4">
        <w:rPr>
          <w:rFonts w:ascii="Arial" w:hAnsi="Arial"/>
          <w:sz w:val="22"/>
          <w:szCs w:val="22"/>
        </w:rPr>
        <w:t>Presence of viable habitat on the site</w:t>
      </w:r>
    </w:p>
    <w:p w14:paraId="085EFB23" w14:textId="77777777" w:rsidR="00A77160" w:rsidRPr="005902F4" w:rsidRDefault="00A77160" w:rsidP="00B00A0A">
      <w:pPr>
        <w:pStyle w:val="ListParagraph"/>
        <w:numPr>
          <w:ilvl w:val="0"/>
          <w:numId w:val="3"/>
        </w:numPr>
        <w:jc w:val="both"/>
        <w:rPr>
          <w:rFonts w:ascii="Arial" w:hAnsi="Arial"/>
          <w:sz w:val="22"/>
          <w:szCs w:val="22"/>
        </w:rPr>
      </w:pPr>
      <w:r w:rsidRPr="005902F4">
        <w:rPr>
          <w:rFonts w:ascii="Arial" w:hAnsi="Arial"/>
          <w:sz w:val="22"/>
          <w:szCs w:val="22"/>
        </w:rPr>
        <w:t>Presence of viable surrounding habitat</w:t>
      </w:r>
    </w:p>
    <w:p w14:paraId="3ED51E45" w14:textId="77777777" w:rsidR="00A77160" w:rsidRPr="005902F4" w:rsidRDefault="00A77160" w:rsidP="00B00A0A">
      <w:pPr>
        <w:pStyle w:val="ListParagraph"/>
        <w:numPr>
          <w:ilvl w:val="0"/>
          <w:numId w:val="3"/>
        </w:numPr>
        <w:jc w:val="both"/>
        <w:rPr>
          <w:rFonts w:ascii="Arial" w:hAnsi="Arial"/>
          <w:sz w:val="22"/>
          <w:szCs w:val="22"/>
        </w:rPr>
      </w:pPr>
      <w:r w:rsidRPr="005902F4">
        <w:rPr>
          <w:rFonts w:ascii="Arial" w:hAnsi="Arial"/>
          <w:sz w:val="22"/>
          <w:szCs w:val="22"/>
        </w:rPr>
        <w:t>Current and potential future land use</w:t>
      </w:r>
    </w:p>
    <w:p w14:paraId="10F70B85" w14:textId="77777777" w:rsidR="00A77160" w:rsidRPr="005902F4" w:rsidRDefault="00A77160" w:rsidP="00B00A0A">
      <w:pPr>
        <w:pStyle w:val="ListParagraph"/>
        <w:numPr>
          <w:ilvl w:val="0"/>
          <w:numId w:val="3"/>
        </w:numPr>
        <w:jc w:val="both"/>
        <w:rPr>
          <w:rFonts w:ascii="Arial" w:hAnsi="Arial"/>
          <w:sz w:val="22"/>
          <w:szCs w:val="22"/>
        </w:rPr>
      </w:pPr>
      <w:r w:rsidRPr="005902F4">
        <w:rPr>
          <w:rFonts w:ascii="Arial" w:hAnsi="Arial"/>
          <w:sz w:val="22"/>
          <w:szCs w:val="22"/>
        </w:rPr>
        <w:t>Presence of threatened or endangered species</w:t>
      </w:r>
    </w:p>
    <w:p w14:paraId="7081A79C" w14:textId="77777777" w:rsidR="00A77160" w:rsidRPr="005902F4" w:rsidRDefault="00A77160" w:rsidP="00B00A0A">
      <w:pPr>
        <w:pStyle w:val="ListParagraph"/>
        <w:numPr>
          <w:ilvl w:val="0"/>
          <w:numId w:val="3"/>
        </w:numPr>
        <w:jc w:val="both"/>
        <w:rPr>
          <w:rFonts w:ascii="Arial" w:hAnsi="Arial"/>
          <w:sz w:val="22"/>
          <w:szCs w:val="22"/>
        </w:rPr>
      </w:pPr>
      <w:r w:rsidRPr="005902F4">
        <w:rPr>
          <w:rFonts w:ascii="Arial" w:hAnsi="Arial"/>
          <w:sz w:val="22"/>
          <w:szCs w:val="22"/>
        </w:rPr>
        <w:t>Presence of ecologically sensitive habitat (e.g., wetlands</w:t>
      </w:r>
      <w:r w:rsidR="00742117">
        <w:rPr>
          <w:rFonts w:ascii="Arial" w:hAnsi="Arial"/>
          <w:sz w:val="22"/>
          <w:szCs w:val="22"/>
        </w:rPr>
        <w:t>, state preserve, spawning grounds</w:t>
      </w:r>
      <w:r w:rsidRPr="005902F4">
        <w:rPr>
          <w:rFonts w:ascii="Arial" w:hAnsi="Arial"/>
          <w:sz w:val="22"/>
          <w:szCs w:val="22"/>
        </w:rPr>
        <w:t>)</w:t>
      </w:r>
    </w:p>
    <w:p w14:paraId="3907F1A6" w14:textId="77777777" w:rsidR="00A77160" w:rsidRPr="005902F4" w:rsidRDefault="00A77160" w:rsidP="00B00A0A">
      <w:pPr>
        <w:jc w:val="both"/>
        <w:rPr>
          <w:rFonts w:ascii="Arial" w:hAnsi="Arial"/>
          <w:sz w:val="22"/>
          <w:szCs w:val="22"/>
        </w:rPr>
      </w:pPr>
    </w:p>
    <w:p w14:paraId="00CE4F64" w14:textId="77777777" w:rsidR="00A77160" w:rsidRDefault="00E93E53" w:rsidP="00B00A0A">
      <w:pPr>
        <w:jc w:val="both"/>
        <w:rPr>
          <w:rFonts w:ascii="Arial" w:hAnsi="Arial"/>
          <w:b/>
          <w:sz w:val="22"/>
          <w:szCs w:val="22"/>
        </w:rPr>
      </w:pPr>
      <w:r>
        <w:rPr>
          <w:rFonts w:ascii="Arial" w:hAnsi="Arial"/>
          <w:b/>
          <w:sz w:val="22"/>
          <w:szCs w:val="22"/>
        </w:rPr>
        <w:t xml:space="preserve">2. Tier </w:t>
      </w:r>
      <w:r w:rsidR="00B04284">
        <w:rPr>
          <w:rFonts w:ascii="Arial" w:hAnsi="Arial"/>
          <w:b/>
          <w:sz w:val="22"/>
          <w:szCs w:val="22"/>
        </w:rPr>
        <w:t xml:space="preserve">I </w:t>
      </w:r>
      <w:r>
        <w:rPr>
          <w:rFonts w:ascii="Arial" w:hAnsi="Arial"/>
          <w:b/>
          <w:sz w:val="22"/>
          <w:szCs w:val="22"/>
        </w:rPr>
        <w:t xml:space="preserve">– </w:t>
      </w:r>
      <w:r w:rsidR="00AF4459">
        <w:rPr>
          <w:rFonts w:ascii="Arial" w:hAnsi="Arial"/>
          <w:b/>
          <w:sz w:val="22"/>
          <w:szCs w:val="22"/>
        </w:rPr>
        <w:t>Screening Level Ecological Risk Assessment</w:t>
      </w:r>
    </w:p>
    <w:p w14:paraId="05C859E4" w14:textId="77777777" w:rsidR="00E93E53" w:rsidRDefault="00E93E53" w:rsidP="00B00A0A">
      <w:pPr>
        <w:jc w:val="both"/>
        <w:rPr>
          <w:rFonts w:ascii="Arial" w:hAnsi="Arial"/>
          <w:b/>
          <w:sz w:val="22"/>
          <w:szCs w:val="22"/>
        </w:rPr>
      </w:pPr>
    </w:p>
    <w:p w14:paraId="722D39E5" w14:textId="77777777" w:rsidR="00E93E53" w:rsidRDefault="00E93E53" w:rsidP="00B00A0A">
      <w:pPr>
        <w:jc w:val="both"/>
        <w:rPr>
          <w:rFonts w:ascii="Arial" w:hAnsi="Arial"/>
          <w:i/>
          <w:sz w:val="22"/>
          <w:szCs w:val="22"/>
        </w:rPr>
      </w:pPr>
      <w:r>
        <w:rPr>
          <w:rFonts w:ascii="Arial" w:hAnsi="Arial"/>
          <w:i/>
          <w:sz w:val="22"/>
          <w:szCs w:val="22"/>
        </w:rPr>
        <w:t xml:space="preserve">2.1 </w:t>
      </w:r>
      <w:r w:rsidR="00AF4459">
        <w:rPr>
          <w:rFonts w:ascii="Arial" w:hAnsi="Arial"/>
          <w:i/>
          <w:sz w:val="22"/>
          <w:szCs w:val="22"/>
        </w:rPr>
        <w:t>Problem Formulation</w:t>
      </w:r>
    </w:p>
    <w:p w14:paraId="4C130920" w14:textId="77777777" w:rsidR="008C2CB1" w:rsidRDefault="008C2CB1" w:rsidP="00B00A0A">
      <w:pPr>
        <w:jc w:val="both"/>
        <w:rPr>
          <w:rFonts w:ascii="Arial" w:hAnsi="Arial"/>
          <w:i/>
          <w:sz w:val="22"/>
          <w:szCs w:val="22"/>
        </w:rPr>
      </w:pPr>
    </w:p>
    <w:p w14:paraId="1151DFAD" w14:textId="77777777" w:rsidR="008C2CB1" w:rsidRDefault="008C2CB1" w:rsidP="00B00A0A">
      <w:pPr>
        <w:jc w:val="both"/>
        <w:rPr>
          <w:rFonts w:ascii="Arial" w:hAnsi="Arial"/>
          <w:sz w:val="22"/>
          <w:szCs w:val="22"/>
          <w:u w:val="single"/>
        </w:rPr>
      </w:pPr>
      <w:r w:rsidRPr="004C53A3">
        <w:rPr>
          <w:rFonts w:ascii="Arial" w:hAnsi="Arial"/>
          <w:sz w:val="22"/>
          <w:szCs w:val="22"/>
          <w:u w:val="single"/>
        </w:rPr>
        <w:t>2.1.1 Conceptual</w:t>
      </w:r>
      <w:r>
        <w:rPr>
          <w:rFonts w:ascii="Arial" w:hAnsi="Arial"/>
          <w:sz w:val="22"/>
          <w:szCs w:val="22"/>
          <w:u w:val="single"/>
        </w:rPr>
        <w:t xml:space="preserve"> Site Model</w:t>
      </w:r>
    </w:p>
    <w:p w14:paraId="0CFEBB87" w14:textId="77777777" w:rsidR="00742117" w:rsidRDefault="00742117" w:rsidP="00B00A0A">
      <w:pPr>
        <w:jc w:val="both"/>
        <w:rPr>
          <w:rFonts w:ascii="Arial" w:hAnsi="Arial"/>
          <w:sz w:val="22"/>
          <w:szCs w:val="22"/>
          <w:u w:val="single"/>
        </w:rPr>
      </w:pPr>
    </w:p>
    <w:p w14:paraId="51EE77A9" w14:textId="2593E83D" w:rsidR="00D5588A" w:rsidRPr="00742117" w:rsidRDefault="00742117" w:rsidP="00B00A0A">
      <w:pPr>
        <w:jc w:val="both"/>
        <w:rPr>
          <w:rFonts w:ascii="Arial" w:hAnsi="Arial"/>
          <w:sz w:val="22"/>
          <w:szCs w:val="22"/>
        </w:rPr>
      </w:pPr>
      <w:r>
        <w:rPr>
          <w:rFonts w:ascii="Arial" w:hAnsi="Arial"/>
          <w:sz w:val="22"/>
          <w:szCs w:val="22"/>
        </w:rPr>
        <w:tab/>
      </w:r>
      <w:r w:rsidRPr="00742117">
        <w:rPr>
          <w:rFonts w:ascii="Arial" w:hAnsi="Arial"/>
          <w:sz w:val="22"/>
          <w:szCs w:val="22"/>
        </w:rPr>
        <w:t xml:space="preserve">The purpose of this model is to describe the relationships between contaminated media and ecological receptors.  </w:t>
      </w:r>
      <w:r w:rsidR="005325DA">
        <w:rPr>
          <w:rFonts w:ascii="Arial" w:hAnsi="Arial"/>
          <w:sz w:val="22"/>
          <w:szCs w:val="22"/>
        </w:rPr>
        <w:t xml:space="preserve">A conceptual site model identifies source, transport, partitioning, contaminated media, and possible exposure routes.  </w:t>
      </w:r>
      <w:r w:rsidR="00B2042A">
        <w:rPr>
          <w:rFonts w:ascii="Arial" w:hAnsi="Arial"/>
          <w:sz w:val="22"/>
          <w:szCs w:val="22"/>
        </w:rPr>
        <w:t xml:space="preserve">It hypothesizes how each of the receptors may be exposed to the chemical hazard. </w:t>
      </w:r>
      <w:r w:rsidRPr="00742117">
        <w:rPr>
          <w:rFonts w:ascii="Arial" w:hAnsi="Arial"/>
          <w:sz w:val="22"/>
          <w:szCs w:val="22"/>
        </w:rPr>
        <w:t xml:space="preserve">This model allows risk assessors and managers to understand how contaminants are moving </w:t>
      </w:r>
      <w:r w:rsidR="00EB6E2E">
        <w:rPr>
          <w:rFonts w:ascii="Arial" w:hAnsi="Arial"/>
          <w:sz w:val="22"/>
          <w:szCs w:val="22"/>
        </w:rPr>
        <w:t>among</w:t>
      </w:r>
      <w:r w:rsidR="00EB6E2E" w:rsidRPr="00742117">
        <w:rPr>
          <w:rFonts w:ascii="Arial" w:hAnsi="Arial"/>
          <w:sz w:val="22"/>
          <w:szCs w:val="22"/>
        </w:rPr>
        <w:t xml:space="preserve"> </w:t>
      </w:r>
      <w:r w:rsidRPr="00742117">
        <w:rPr>
          <w:rFonts w:ascii="Arial" w:hAnsi="Arial"/>
          <w:sz w:val="22"/>
          <w:szCs w:val="22"/>
        </w:rPr>
        <w:t xml:space="preserve">aquatic and terrestrial organisms and </w:t>
      </w:r>
      <w:r>
        <w:rPr>
          <w:rFonts w:ascii="Arial" w:hAnsi="Arial"/>
          <w:sz w:val="22"/>
          <w:szCs w:val="22"/>
        </w:rPr>
        <w:t>through</w:t>
      </w:r>
      <w:r w:rsidRPr="00742117">
        <w:rPr>
          <w:rFonts w:ascii="Arial" w:hAnsi="Arial"/>
          <w:sz w:val="22"/>
          <w:szCs w:val="22"/>
        </w:rPr>
        <w:t xml:space="preserve"> trophic levels at a site.  It is also useful for identifying incomplete pathways and eliminating chemicals or media that are not relevant for the site in question.</w:t>
      </w:r>
      <w:r>
        <w:rPr>
          <w:rFonts w:ascii="Arial" w:hAnsi="Arial"/>
          <w:sz w:val="22"/>
          <w:szCs w:val="22"/>
        </w:rPr>
        <w:t xml:space="preserve">  A conceptual site model may be presented </w:t>
      </w:r>
      <w:r w:rsidR="005325DA">
        <w:rPr>
          <w:rFonts w:ascii="Arial" w:hAnsi="Arial"/>
          <w:sz w:val="22"/>
          <w:szCs w:val="22"/>
        </w:rPr>
        <w:t>as</w:t>
      </w:r>
      <w:r>
        <w:rPr>
          <w:rFonts w:ascii="Arial" w:hAnsi="Arial"/>
          <w:sz w:val="22"/>
          <w:szCs w:val="22"/>
        </w:rPr>
        <w:t xml:space="preserve"> a figure or a chart</w:t>
      </w:r>
      <w:r w:rsidR="00197627">
        <w:rPr>
          <w:rFonts w:ascii="Arial" w:hAnsi="Arial"/>
          <w:sz w:val="22"/>
          <w:szCs w:val="22"/>
        </w:rPr>
        <w:t xml:space="preserve"> (Figure 2)</w:t>
      </w:r>
      <w:r>
        <w:rPr>
          <w:rFonts w:ascii="Arial" w:hAnsi="Arial"/>
          <w:sz w:val="22"/>
          <w:szCs w:val="22"/>
        </w:rPr>
        <w:t>.</w:t>
      </w:r>
    </w:p>
    <w:p w14:paraId="251BAABA" w14:textId="77777777" w:rsidR="008C2CB1" w:rsidRDefault="008C2CB1" w:rsidP="00B00A0A">
      <w:pPr>
        <w:jc w:val="both"/>
        <w:rPr>
          <w:rFonts w:ascii="Arial" w:hAnsi="Arial"/>
          <w:sz w:val="22"/>
          <w:szCs w:val="22"/>
        </w:rPr>
      </w:pPr>
    </w:p>
    <w:p w14:paraId="317175B7" w14:textId="77777777" w:rsidR="008C2CB1" w:rsidRPr="004C53A3" w:rsidRDefault="008C2CB1" w:rsidP="00B00A0A">
      <w:pPr>
        <w:jc w:val="both"/>
        <w:rPr>
          <w:rFonts w:ascii="Arial" w:hAnsi="Arial"/>
          <w:sz w:val="22"/>
          <w:szCs w:val="22"/>
          <w:u w:val="single"/>
        </w:rPr>
      </w:pPr>
      <w:r w:rsidRPr="004C53A3">
        <w:rPr>
          <w:rFonts w:ascii="Arial" w:hAnsi="Arial"/>
          <w:sz w:val="22"/>
          <w:szCs w:val="22"/>
          <w:u w:val="single"/>
        </w:rPr>
        <w:t>2.1.2 Stressors</w:t>
      </w:r>
    </w:p>
    <w:p w14:paraId="68BDC6A5" w14:textId="77777777" w:rsidR="00FA5A19" w:rsidRDefault="00FA5A19" w:rsidP="00B00A0A">
      <w:pPr>
        <w:jc w:val="both"/>
        <w:rPr>
          <w:rFonts w:ascii="Arial" w:hAnsi="Arial"/>
          <w:sz w:val="22"/>
          <w:szCs w:val="22"/>
          <w:u w:val="single"/>
        </w:rPr>
      </w:pPr>
    </w:p>
    <w:p w14:paraId="537A87A0" w14:textId="77777777" w:rsidR="00FA5A19" w:rsidRPr="00FA5A19" w:rsidRDefault="00FA5A19" w:rsidP="00B00A0A">
      <w:pPr>
        <w:jc w:val="both"/>
        <w:rPr>
          <w:rFonts w:ascii="Arial" w:hAnsi="Arial"/>
          <w:sz w:val="22"/>
          <w:szCs w:val="22"/>
        </w:rPr>
      </w:pPr>
      <w:r>
        <w:rPr>
          <w:rFonts w:ascii="Arial" w:hAnsi="Arial"/>
          <w:sz w:val="22"/>
          <w:szCs w:val="22"/>
        </w:rPr>
        <w:tab/>
      </w:r>
      <w:r w:rsidR="00B00A0A">
        <w:rPr>
          <w:rFonts w:ascii="Arial" w:hAnsi="Arial"/>
          <w:sz w:val="22"/>
          <w:szCs w:val="22"/>
        </w:rPr>
        <w:t xml:space="preserve">Both chemical and non-chemical stressors should be considered.  While </w:t>
      </w:r>
      <w:r w:rsidR="004C3CE9">
        <w:rPr>
          <w:rFonts w:ascii="Arial" w:hAnsi="Arial"/>
          <w:sz w:val="22"/>
          <w:szCs w:val="22"/>
        </w:rPr>
        <w:t xml:space="preserve">ecological risk assessment has traditionally focused on chemical </w:t>
      </w:r>
      <w:r w:rsidR="00FF7DB4">
        <w:rPr>
          <w:rFonts w:ascii="Arial" w:hAnsi="Arial"/>
          <w:sz w:val="22"/>
          <w:szCs w:val="22"/>
        </w:rPr>
        <w:t>hazards</w:t>
      </w:r>
      <w:r w:rsidR="004C3CE9">
        <w:rPr>
          <w:rFonts w:ascii="Arial" w:hAnsi="Arial"/>
          <w:sz w:val="22"/>
          <w:szCs w:val="22"/>
        </w:rPr>
        <w:t xml:space="preserve">, physical and biological stressors are important determinants </w:t>
      </w:r>
      <w:r w:rsidR="00FF7DB4">
        <w:rPr>
          <w:rFonts w:ascii="Arial" w:hAnsi="Arial"/>
          <w:sz w:val="22"/>
          <w:szCs w:val="22"/>
        </w:rPr>
        <w:t>for</w:t>
      </w:r>
      <w:r w:rsidR="004C3CE9">
        <w:rPr>
          <w:rFonts w:ascii="Arial" w:hAnsi="Arial"/>
          <w:sz w:val="22"/>
          <w:szCs w:val="22"/>
        </w:rPr>
        <w:t xml:space="preserve"> the overall health of the ecosystem. </w:t>
      </w:r>
      <w:r w:rsidR="000B5C52">
        <w:rPr>
          <w:rFonts w:ascii="Arial" w:hAnsi="Arial"/>
          <w:sz w:val="22"/>
          <w:szCs w:val="22"/>
        </w:rPr>
        <w:t xml:space="preserve"> These stressors may occur naturally (e.g., parasites, soil high in metals) or be a result of anthropogenic influence (e.g., </w:t>
      </w:r>
      <w:r w:rsidR="005A52D2">
        <w:rPr>
          <w:rFonts w:ascii="Arial" w:hAnsi="Arial"/>
          <w:sz w:val="22"/>
          <w:szCs w:val="22"/>
        </w:rPr>
        <w:t>removal of habitat for construction).</w:t>
      </w:r>
      <w:r w:rsidR="004C3CE9">
        <w:rPr>
          <w:rFonts w:ascii="Arial" w:hAnsi="Arial"/>
          <w:sz w:val="22"/>
          <w:szCs w:val="22"/>
        </w:rPr>
        <w:t xml:space="preserve"> </w:t>
      </w:r>
      <w:r w:rsidR="00B00A0A">
        <w:rPr>
          <w:rFonts w:ascii="Arial" w:hAnsi="Arial"/>
          <w:sz w:val="22"/>
          <w:szCs w:val="22"/>
        </w:rPr>
        <w:t xml:space="preserve"> </w:t>
      </w:r>
      <w:r w:rsidR="007E0B67">
        <w:rPr>
          <w:rFonts w:ascii="Arial" w:hAnsi="Arial"/>
          <w:sz w:val="22"/>
          <w:szCs w:val="22"/>
        </w:rPr>
        <w:t>Physical stressors such as extremes in pH, dredging, low dissolved oxygen, changes in water level, or fragmented habitat may intensify adverse effects.  Biological stressors (</w:t>
      </w:r>
      <w:r w:rsidR="00EB6E2E">
        <w:rPr>
          <w:rFonts w:ascii="Arial" w:hAnsi="Arial"/>
          <w:sz w:val="22"/>
          <w:szCs w:val="22"/>
        </w:rPr>
        <w:t xml:space="preserve">e.g., </w:t>
      </w:r>
      <w:r w:rsidR="007E0B67">
        <w:rPr>
          <w:rFonts w:ascii="Arial" w:hAnsi="Arial"/>
          <w:sz w:val="22"/>
          <w:szCs w:val="22"/>
        </w:rPr>
        <w:t xml:space="preserve">invasive species or changes in predator/prey relationships) can alter species composition and, </w:t>
      </w:r>
      <w:r w:rsidR="00EB6E2E">
        <w:rPr>
          <w:rFonts w:ascii="Arial" w:hAnsi="Arial"/>
          <w:sz w:val="22"/>
          <w:szCs w:val="22"/>
        </w:rPr>
        <w:t xml:space="preserve">as a result, </w:t>
      </w:r>
      <w:r w:rsidR="007E0B67">
        <w:rPr>
          <w:rFonts w:ascii="Arial" w:hAnsi="Arial"/>
          <w:sz w:val="22"/>
          <w:szCs w:val="22"/>
        </w:rPr>
        <w:t xml:space="preserve">change the ecosystem over time.  The analysis </w:t>
      </w:r>
      <w:r w:rsidR="00363F5D">
        <w:rPr>
          <w:rFonts w:ascii="Arial" w:hAnsi="Arial"/>
          <w:sz w:val="22"/>
          <w:szCs w:val="22"/>
        </w:rPr>
        <w:t xml:space="preserve">of </w:t>
      </w:r>
      <w:r w:rsidR="007E0B67">
        <w:rPr>
          <w:rFonts w:ascii="Arial" w:hAnsi="Arial"/>
          <w:sz w:val="22"/>
          <w:szCs w:val="22"/>
        </w:rPr>
        <w:t>non-chemical stressors</w:t>
      </w:r>
      <w:r w:rsidR="00363F5D">
        <w:rPr>
          <w:rFonts w:ascii="Arial" w:hAnsi="Arial"/>
          <w:sz w:val="22"/>
          <w:szCs w:val="22"/>
        </w:rPr>
        <w:t xml:space="preserve"> </w:t>
      </w:r>
      <w:r w:rsidR="00417F08">
        <w:rPr>
          <w:rFonts w:ascii="Arial" w:hAnsi="Arial"/>
          <w:sz w:val="22"/>
          <w:szCs w:val="22"/>
        </w:rPr>
        <w:t>identifies</w:t>
      </w:r>
      <w:r w:rsidR="00363F5D">
        <w:rPr>
          <w:rFonts w:ascii="Arial" w:hAnsi="Arial"/>
          <w:sz w:val="22"/>
          <w:szCs w:val="22"/>
        </w:rPr>
        <w:t xml:space="preserve"> both the indirect</w:t>
      </w:r>
      <w:r w:rsidR="00417F08">
        <w:rPr>
          <w:rFonts w:ascii="Arial" w:hAnsi="Arial"/>
          <w:sz w:val="22"/>
          <w:szCs w:val="22"/>
        </w:rPr>
        <w:t xml:space="preserve"> effects of a chemical release on an ecosystem as well as changes due to non-site related activities.</w:t>
      </w:r>
    </w:p>
    <w:p w14:paraId="1EB1DD3E" w14:textId="77777777" w:rsidR="008C2CB1" w:rsidRDefault="008C2CB1" w:rsidP="00B00A0A">
      <w:pPr>
        <w:jc w:val="both"/>
        <w:rPr>
          <w:rFonts w:ascii="Arial" w:hAnsi="Arial"/>
          <w:sz w:val="22"/>
          <w:szCs w:val="22"/>
        </w:rPr>
      </w:pPr>
    </w:p>
    <w:p w14:paraId="28815E61" w14:textId="77777777" w:rsidR="008C2CB1" w:rsidRDefault="008C2CB1" w:rsidP="00B00A0A">
      <w:pPr>
        <w:jc w:val="both"/>
        <w:rPr>
          <w:rFonts w:ascii="Arial" w:hAnsi="Arial"/>
          <w:sz w:val="22"/>
          <w:szCs w:val="22"/>
          <w:u w:val="single"/>
        </w:rPr>
      </w:pPr>
      <w:r w:rsidRPr="004C53A3">
        <w:rPr>
          <w:rFonts w:ascii="Arial" w:hAnsi="Arial"/>
          <w:sz w:val="22"/>
          <w:szCs w:val="22"/>
          <w:u w:val="single"/>
        </w:rPr>
        <w:t>2.1.3 Management</w:t>
      </w:r>
      <w:r>
        <w:rPr>
          <w:rFonts w:ascii="Arial" w:hAnsi="Arial"/>
          <w:sz w:val="22"/>
          <w:szCs w:val="22"/>
          <w:u w:val="single"/>
        </w:rPr>
        <w:t xml:space="preserve"> Goals</w:t>
      </w:r>
    </w:p>
    <w:p w14:paraId="060E7453" w14:textId="77777777" w:rsidR="0037161C" w:rsidRDefault="0037161C" w:rsidP="00B00A0A">
      <w:pPr>
        <w:jc w:val="both"/>
        <w:rPr>
          <w:rFonts w:ascii="Arial" w:hAnsi="Arial"/>
          <w:sz w:val="22"/>
          <w:szCs w:val="22"/>
          <w:u w:val="single"/>
        </w:rPr>
      </w:pPr>
    </w:p>
    <w:p w14:paraId="7FDFF8B1" w14:textId="08DD7044" w:rsidR="009E61F3" w:rsidRDefault="0037161C" w:rsidP="00B00A0A">
      <w:pPr>
        <w:jc w:val="both"/>
        <w:rPr>
          <w:rFonts w:ascii="Arial" w:hAnsi="Arial"/>
          <w:sz w:val="22"/>
          <w:szCs w:val="22"/>
        </w:rPr>
        <w:sectPr w:rsidR="009E61F3" w:rsidSect="00AD47C2">
          <w:headerReference w:type="even" r:id="rId8"/>
          <w:footerReference w:type="even" r:id="rId9"/>
          <w:footerReference w:type="default" r:id="rId10"/>
          <w:headerReference w:type="first" r:id="rId11"/>
          <w:pgSz w:w="12240" w:h="15840"/>
          <w:pgMar w:top="1440" w:right="1800" w:bottom="1440" w:left="1800" w:header="720" w:footer="720" w:gutter="0"/>
          <w:pgNumType w:start="0"/>
          <w:cols w:space="720"/>
          <w:titlePg/>
        </w:sectPr>
      </w:pPr>
      <w:r>
        <w:rPr>
          <w:rFonts w:ascii="Arial" w:hAnsi="Arial"/>
          <w:sz w:val="22"/>
          <w:szCs w:val="22"/>
        </w:rPr>
        <w:tab/>
        <w:t xml:space="preserve">The management goal </w:t>
      </w:r>
      <w:r w:rsidR="00461A58">
        <w:rPr>
          <w:rFonts w:ascii="Arial" w:hAnsi="Arial"/>
          <w:sz w:val="22"/>
          <w:szCs w:val="22"/>
        </w:rPr>
        <w:t xml:space="preserve">defines the ecological values that are to be protected at the site.  It could be as simple as the protection of one species or as complex as the maintenance of an entire ecosystem.  Consequently, it </w:t>
      </w:r>
      <w:r>
        <w:rPr>
          <w:rFonts w:ascii="Arial" w:hAnsi="Arial"/>
          <w:sz w:val="22"/>
          <w:szCs w:val="22"/>
        </w:rPr>
        <w:t>should be defined early in the assessment.</w:t>
      </w:r>
      <w:r w:rsidR="00461A58">
        <w:rPr>
          <w:rFonts w:ascii="Arial" w:hAnsi="Arial"/>
          <w:sz w:val="22"/>
          <w:szCs w:val="22"/>
        </w:rPr>
        <w:t xml:space="preserve">  Without a clear management goal, sampling and assessment at the site are not focused.  </w:t>
      </w:r>
      <w:r w:rsidR="00D63432">
        <w:rPr>
          <w:rFonts w:ascii="Arial" w:hAnsi="Arial"/>
          <w:sz w:val="22"/>
          <w:szCs w:val="22"/>
        </w:rPr>
        <w:t>If</w:t>
      </w:r>
      <w:r w:rsidR="00461A58">
        <w:rPr>
          <w:rFonts w:ascii="Arial" w:hAnsi="Arial"/>
          <w:sz w:val="22"/>
          <w:szCs w:val="22"/>
        </w:rPr>
        <w:t xml:space="preserve"> a management goal is </w:t>
      </w:r>
      <w:r w:rsidR="00D63432">
        <w:rPr>
          <w:rFonts w:ascii="Arial" w:hAnsi="Arial"/>
          <w:sz w:val="22"/>
          <w:szCs w:val="22"/>
        </w:rPr>
        <w:t>chosen later in the risk assessment process</w:t>
      </w:r>
      <w:r w:rsidR="00444F47">
        <w:rPr>
          <w:rFonts w:ascii="Arial" w:hAnsi="Arial"/>
          <w:sz w:val="22"/>
          <w:szCs w:val="22"/>
        </w:rPr>
        <w:t>,</w:t>
      </w:r>
    </w:p>
    <w:p w14:paraId="4AA8F462" w14:textId="77777777" w:rsidR="009E61F3" w:rsidRDefault="009E61F3" w:rsidP="00B00A0A">
      <w:pPr>
        <w:jc w:val="both"/>
        <w:rPr>
          <w:rFonts w:ascii="Arial" w:hAnsi="Arial"/>
          <w:sz w:val="22"/>
          <w:szCs w:val="22"/>
        </w:rPr>
      </w:pPr>
    </w:p>
    <w:p w14:paraId="4EB42400" w14:textId="08A1C6E2" w:rsidR="009E61F3" w:rsidRDefault="00444F47" w:rsidP="00B00A0A">
      <w:pPr>
        <w:jc w:val="both"/>
        <w:rPr>
          <w:rFonts w:ascii="Arial" w:hAnsi="Arial"/>
          <w:sz w:val="22"/>
          <w:szCs w:val="22"/>
        </w:rPr>
      </w:pPr>
      <w:r>
        <w:rPr>
          <w:rFonts w:ascii="Arial" w:hAnsi="Arial"/>
          <w:noProof/>
          <w:sz w:val="22"/>
          <w:szCs w:val="22"/>
        </w:rPr>
        <w:drawing>
          <wp:inline distT="0" distB="0" distL="0" distR="0" wp14:anchorId="65BBDAAE" wp14:editId="5136E449">
            <wp:extent cx="8229600" cy="4564210"/>
            <wp:effectExtent l="0" t="0" r="0" b="8255"/>
            <wp:docPr id="2" name="Picture 2" descr="Eco Risk Guidance" title="Eco Risk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4564210"/>
                    </a:xfrm>
                    <a:prstGeom prst="rect">
                      <a:avLst/>
                    </a:prstGeom>
                    <a:noFill/>
                    <a:ln>
                      <a:noFill/>
                    </a:ln>
                  </pic:spPr>
                </pic:pic>
              </a:graphicData>
            </a:graphic>
          </wp:inline>
        </w:drawing>
      </w:r>
    </w:p>
    <w:p w14:paraId="6FD5EA04" w14:textId="46AB9DBA" w:rsidR="009E61F3" w:rsidRDefault="00444F47" w:rsidP="00B00A0A">
      <w:pPr>
        <w:jc w:val="both"/>
        <w:rPr>
          <w:rFonts w:ascii="Arial" w:hAnsi="Arial"/>
          <w:sz w:val="22"/>
          <w:szCs w:val="22"/>
        </w:rPr>
      </w:pPr>
      <w:r>
        <w:rPr>
          <w:rFonts w:ascii="Arial" w:hAnsi="Arial"/>
          <w:sz w:val="22"/>
          <w:szCs w:val="22"/>
        </w:rPr>
        <w:t xml:space="preserve">Figure 2 – Example site conceptual model for ecological risk </w:t>
      </w:r>
      <w:r w:rsidR="000C525F">
        <w:rPr>
          <w:rFonts w:ascii="Arial" w:hAnsi="Arial"/>
          <w:sz w:val="22"/>
          <w:szCs w:val="22"/>
        </w:rPr>
        <w:t>assessment</w:t>
      </w:r>
    </w:p>
    <w:p w14:paraId="7C7F895F" w14:textId="77777777" w:rsidR="009E61F3" w:rsidRDefault="009E61F3" w:rsidP="00B00A0A">
      <w:pPr>
        <w:jc w:val="both"/>
        <w:rPr>
          <w:rFonts w:ascii="Arial" w:hAnsi="Arial"/>
          <w:sz w:val="22"/>
          <w:szCs w:val="22"/>
        </w:rPr>
      </w:pPr>
    </w:p>
    <w:p w14:paraId="4B000EFD" w14:textId="77777777" w:rsidR="009E61F3" w:rsidRDefault="009E61F3" w:rsidP="00B00A0A">
      <w:pPr>
        <w:jc w:val="both"/>
        <w:rPr>
          <w:rFonts w:ascii="Arial" w:hAnsi="Arial"/>
          <w:sz w:val="22"/>
          <w:szCs w:val="22"/>
        </w:rPr>
        <w:sectPr w:rsidR="009E61F3" w:rsidSect="009E61F3">
          <w:pgSz w:w="15840" w:h="12240" w:orient="landscape"/>
          <w:pgMar w:top="1800" w:right="1440" w:bottom="1800" w:left="1440" w:header="720" w:footer="720" w:gutter="0"/>
          <w:pgNumType w:start="0"/>
          <w:cols w:space="720"/>
          <w:titlePg/>
        </w:sectPr>
      </w:pPr>
    </w:p>
    <w:p w14:paraId="739159C2" w14:textId="044AF75B" w:rsidR="0037161C" w:rsidRDefault="00D63432" w:rsidP="00B00A0A">
      <w:pPr>
        <w:jc w:val="both"/>
        <w:rPr>
          <w:rFonts w:ascii="Arial" w:hAnsi="Arial"/>
          <w:sz w:val="22"/>
          <w:szCs w:val="22"/>
        </w:rPr>
      </w:pPr>
      <w:r>
        <w:rPr>
          <w:rFonts w:ascii="Arial" w:hAnsi="Arial"/>
          <w:sz w:val="22"/>
          <w:szCs w:val="22"/>
        </w:rPr>
        <w:lastRenderedPageBreak/>
        <w:t>data gaps may exist (requiring further sampling) or it may be discovered that extraneous data were collected (increasing overall cost).</w:t>
      </w:r>
    </w:p>
    <w:p w14:paraId="2A2D5DDD" w14:textId="77777777" w:rsidR="00D63432" w:rsidRDefault="00D63432" w:rsidP="00B00A0A">
      <w:pPr>
        <w:jc w:val="both"/>
        <w:rPr>
          <w:rFonts w:ascii="Arial" w:hAnsi="Arial"/>
          <w:sz w:val="22"/>
          <w:szCs w:val="22"/>
        </w:rPr>
      </w:pPr>
    </w:p>
    <w:p w14:paraId="2976C0D3" w14:textId="77777777" w:rsidR="00D63432" w:rsidRPr="0037161C" w:rsidRDefault="00D63432" w:rsidP="00B00A0A">
      <w:pPr>
        <w:jc w:val="both"/>
        <w:rPr>
          <w:rFonts w:ascii="Arial" w:hAnsi="Arial"/>
          <w:sz w:val="22"/>
          <w:szCs w:val="22"/>
        </w:rPr>
      </w:pPr>
      <w:r>
        <w:rPr>
          <w:rFonts w:ascii="Arial" w:hAnsi="Arial"/>
          <w:sz w:val="22"/>
          <w:szCs w:val="22"/>
        </w:rPr>
        <w:tab/>
        <w:t xml:space="preserve">An assessment endpoint is “an explicit expression of the environmental value that is to be protected” (US EPA, 1997).  </w:t>
      </w:r>
      <w:r w:rsidR="00542AA4">
        <w:rPr>
          <w:rFonts w:ascii="Arial" w:hAnsi="Arial"/>
          <w:sz w:val="22"/>
          <w:szCs w:val="22"/>
        </w:rPr>
        <w:t xml:space="preserve">Assessment endpoints express a value </w:t>
      </w:r>
      <w:r w:rsidR="005325DA">
        <w:rPr>
          <w:rFonts w:ascii="Arial" w:hAnsi="Arial"/>
          <w:sz w:val="22"/>
          <w:szCs w:val="22"/>
        </w:rPr>
        <w:t xml:space="preserve">defined by the management goals </w:t>
      </w:r>
      <w:r w:rsidR="00542AA4">
        <w:rPr>
          <w:rFonts w:ascii="Arial" w:hAnsi="Arial"/>
          <w:sz w:val="22"/>
          <w:szCs w:val="22"/>
        </w:rPr>
        <w:t>and cannot usua</w:t>
      </w:r>
      <w:r w:rsidR="005325DA">
        <w:rPr>
          <w:rFonts w:ascii="Arial" w:hAnsi="Arial"/>
          <w:sz w:val="22"/>
          <w:szCs w:val="22"/>
        </w:rPr>
        <w:t>lly be measured directly</w:t>
      </w:r>
      <w:r w:rsidR="00542AA4">
        <w:rPr>
          <w:rFonts w:ascii="Arial" w:hAnsi="Arial"/>
          <w:sz w:val="22"/>
          <w:szCs w:val="22"/>
        </w:rPr>
        <w:t xml:space="preserve">.  </w:t>
      </w:r>
      <w:r w:rsidR="005325DA">
        <w:rPr>
          <w:rFonts w:ascii="Arial" w:hAnsi="Arial"/>
          <w:sz w:val="22"/>
          <w:szCs w:val="22"/>
        </w:rPr>
        <w:t xml:space="preserve">For example, if a management goal for a wetland contaminated with PCB is “maintenance of the wetland ecosystem”, relevant assessment endpoints may include “protection of piscivorous birds and mammals” or “protection of predatory fish”.  Assessment endpoints should be sensitive to the chemical as well as ecologically relevant to the management goal. </w:t>
      </w:r>
      <w:r w:rsidR="00542AA4">
        <w:rPr>
          <w:rFonts w:ascii="Arial" w:hAnsi="Arial"/>
          <w:sz w:val="22"/>
          <w:szCs w:val="22"/>
        </w:rPr>
        <w:t xml:space="preserve">Although assessment endpoints may not be chosen at this stage, consideration of possible assessment endpoints will help guide sampling. </w:t>
      </w:r>
      <w:r w:rsidR="00C7040A">
        <w:rPr>
          <w:rFonts w:ascii="Arial" w:hAnsi="Arial"/>
          <w:sz w:val="22"/>
          <w:szCs w:val="22"/>
        </w:rPr>
        <w:t xml:space="preserve"> </w:t>
      </w:r>
    </w:p>
    <w:p w14:paraId="4BD03AD0" w14:textId="77777777" w:rsidR="00471345" w:rsidRDefault="00471345" w:rsidP="00B00A0A">
      <w:pPr>
        <w:jc w:val="both"/>
        <w:rPr>
          <w:rFonts w:ascii="Arial" w:hAnsi="Arial"/>
          <w:sz w:val="22"/>
          <w:szCs w:val="22"/>
        </w:rPr>
      </w:pPr>
    </w:p>
    <w:p w14:paraId="0E6D2771" w14:textId="77777777" w:rsidR="00471345" w:rsidRPr="00471345" w:rsidRDefault="00471345" w:rsidP="00B00A0A">
      <w:pPr>
        <w:jc w:val="both"/>
        <w:rPr>
          <w:rFonts w:ascii="Arial" w:hAnsi="Arial"/>
          <w:i/>
          <w:sz w:val="22"/>
          <w:szCs w:val="22"/>
        </w:rPr>
      </w:pPr>
      <w:r>
        <w:rPr>
          <w:rFonts w:ascii="Arial" w:hAnsi="Arial"/>
          <w:i/>
          <w:sz w:val="22"/>
          <w:szCs w:val="22"/>
        </w:rPr>
        <w:t>2.2 Ecological Screening Levels</w:t>
      </w:r>
    </w:p>
    <w:p w14:paraId="0C8EC06B" w14:textId="77777777" w:rsidR="00A77160" w:rsidRDefault="00A77160" w:rsidP="00B00A0A">
      <w:pPr>
        <w:jc w:val="both"/>
        <w:rPr>
          <w:rFonts w:ascii="Arial" w:hAnsi="Arial"/>
          <w:sz w:val="22"/>
          <w:szCs w:val="22"/>
        </w:rPr>
      </w:pPr>
    </w:p>
    <w:p w14:paraId="5B787C58" w14:textId="77777777" w:rsidR="00731E88" w:rsidRDefault="00731E88" w:rsidP="00B00A0A">
      <w:pPr>
        <w:jc w:val="both"/>
        <w:rPr>
          <w:rFonts w:ascii="Arial" w:hAnsi="Arial"/>
          <w:sz w:val="22"/>
          <w:szCs w:val="22"/>
        </w:rPr>
      </w:pPr>
      <w:r>
        <w:rPr>
          <w:rFonts w:ascii="Arial" w:hAnsi="Arial"/>
          <w:sz w:val="22"/>
          <w:szCs w:val="22"/>
        </w:rPr>
        <w:t xml:space="preserve">There are several sources </w:t>
      </w:r>
      <w:r w:rsidR="0086685F">
        <w:rPr>
          <w:rFonts w:ascii="Arial" w:hAnsi="Arial"/>
          <w:sz w:val="22"/>
          <w:szCs w:val="22"/>
        </w:rPr>
        <w:t>of</w:t>
      </w:r>
      <w:r>
        <w:rPr>
          <w:rFonts w:ascii="Arial" w:hAnsi="Arial"/>
          <w:sz w:val="22"/>
          <w:szCs w:val="22"/>
        </w:rPr>
        <w:t xml:space="preserve"> ecological screening levels.  </w:t>
      </w:r>
      <w:r w:rsidR="0086685F">
        <w:rPr>
          <w:rFonts w:ascii="Arial" w:hAnsi="Arial"/>
          <w:sz w:val="22"/>
          <w:szCs w:val="22"/>
        </w:rPr>
        <w:t xml:space="preserve">Screening levels derived for use in the State of Florida are given preference, followed by Federal and Region 4 screening levels.  The following sections list ecological screening level </w:t>
      </w:r>
      <w:r w:rsidR="003620E0">
        <w:rPr>
          <w:rFonts w:ascii="Arial" w:hAnsi="Arial"/>
          <w:sz w:val="22"/>
          <w:szCs w:val="22"/>
        </w:rPr>
        <w:t xml:space="preserve">sources </w:t>
      </w:r>
      <w:r w:rsidR="0086685F">
        <w:rPr>
          <w:rFonts w:ascii="Arial" w:hAnsi="Arial"/>
          <w:sz w:val="22"/>
          <w:szCs w:val="22"/>
        </w:rPr>
        <w:t>for each media of concern</w:t>
      </w:r>
      <w:r w:rsidR="00817DE3">
        <w:rPr>
          <w:rFonts w:ascii="Arial" w:hAnsi="Arial"/>
          <w:sz w:val="22"/>
          <w:szCs w:val="22"/>
        </w:rPr>
        <w:t>, in order of preference</w:t>
      </w:r>
      <w:r w:rsidR="0086685F">
        <w:rPr>
          <w:rFonts w:ascii="Arial" w:hAnsi="Arial"/>
          <w:sz w:val="22"/>
          <w:szCs w:val="22"/>
        </w:rPr>
        <w:t>.</w:t>
      </w:r>
    </w:p>
    <w:p w14:paraId="38473401" w14:textId="77777777" w:rsidR="0086685F" w:rsidRDefault="0086685F" w:rsidP="00B00A0A">
      <w:pPr>
        <w:jc w:val="both"/>
        <w:rPr>
          <w:rFonts w:ascii="Arial" w:hAnsi="Arial"/>
          <w:sz w:val="22"/>
          <w:szCs w:val="22"/>
        </w:rPr>
      </w:pPr>
    </w:p>
    <w:p w14:paraId="1EA2E3C1" w14:textId="77777777" w:rsidR="0086685F" w:rsidRDefault="0086685F" w:rsidP="00B00A0A">
      <w:pPr>
        <w:jc w:val="both"/>
        <w:rPr>
          <w:rFonts w:ascii="Arial" w:hAnsi="Arial"/>
          <w:sz w:val="22"/>
          <w:szCs w:val="22"/>
        </w:rPr>
      </w:pPr>
      <w:r w:rsidRPr="004C53A3">
        <w:rPr>
          <w:rFonts w:ascii="Arial" w:hAnsi="Arial"/>
          <w:sz w:val="22"/>
          <w:szCs w:val="22"/>
          <w:u w:val="single"/>
        </w:rPr>
        <w:t>2.2.1 S</w:t>
      </w:r>
      <w:r>
        <w:rPr>
          <w:rFonts w:ascii="Arial" w:hAnsi="Arial"/>
          <w:sz w:val="22"/>
          <w:szCs w:val="22"/>
          <w:u w:val="single"/>
        </w:rPr>
        <w:t>oil Screening Levels</w:t>
      </w:r>
    </w:p>
    <w:p w14:paraId="6A083156" w14:textId="77777777" w:rsidR="0086685F" w:rsidRDefault="0086685F" w:rsidP="00B00A0A">
      <w:pPr>
        <w:jc w:val="both"/>
        <w:rPr>
          <w:rFonts w:ascii="Arial" w:hAnsi="Arial"/>
          <w:sz w:val="22"/>
          <w:szCs w:val="22"/>
        </w:rPr>
      </w:pPr>
    </w:p>
    <w:p w14:paraId="5759A25B" w14:textId="77777777" w:rsidR="007B5270" w:rsidRDefault="00B723ED" w:rsidP="00820645">
      <w:pPr>
        <w:pStyle w:val="ListParagraph"/>
        <w:numPr>
          <w:ilvl w:val="0"/>
          <w:numId w:val="4"/>
        </w:numPr>
        <w:jc w:val="both"/>
        <w:rPr>
          <w:rFonts w:ascii="Arial" w:hAnsi="Arial"/>
          <w:sz w:val="22"/>
          <w:szCs w:val="22"/>
        </w:rPr>
      </w:pPr>
      <w:hyperlink r:id="rId13" w:history="1">
        <w:r w:rsidR="007B5270" w:rsidRPr="002B0256">
          <w:rPr>
            <w:rStyle w:val="Hyperlink"/>
            <w:rFonts w:ascii="Arial" w:hAnsi="Arial"/>
            <w:sz w:val="22"/>
            <w:szCs w:val="22"/>
          </w:rPr>
          <w:t>US EPA Ecological Soil Screening Levels (</w:t>
        </w:r>
        <w:r w:rsidR="00741C25" w:rsidRPr="002B0256">
          <w:rPr>
            <w:rStyle w:val="Hyperlink"/>
            <w:rFonts w:ascii="Arial" w:hAnsi="Arial"/>
            <w:sz w:val="22"/>
            <w:szCs w:val="22"/>
          </w:rPr>
          <w:t>2003-</w:t>
        </w:r>
        <w:r w:rsidR="007B5270" w:rsidRPr="002B0256">
          <w:rPr>
            <w:rStyle w:val="Hyperlink"/>
            <w:rFonts w:ascii="Arial" w:hAnsi="Arial"/>
            <w:sz w:val="22"/>
            <w:szCs w:val="22"/>
          </w:rPr>
          <w:t>2008)</w:t>
        </w:r>
      </w:hyperlink>
      <w:r w:rsidR="007B5270" w:rsidRPr="00820645">
        <w:rPr>
          <w:rFonts w:ascii="Arial" w:hAnsi="Arial"/>
          <w:sz w:val="22"/>
          <w:szCs w:val="22"/>
        </w:rPr>
        <w:t xml:space="preserve"> </w:t>
      </w:r>
    </w:p>
    <w:p w14:paraId="24B66F67" w14:textId="77777777" w:rsidR="006A1343" w:rsidRPr="00820645" w:rsidRDefault="006A1343" w:rsidP="006A1343">
      <w:pPr>
        <w:pStyle w:val="ListParagraph"/>
        <w:jc w:val="both"/>
        <w:rPr>
          <w:rFonts w:ascii="Arial" w:hAnsi="Arial"/>
          <w:sz w:val="22"/>
          <w:szCs w:val="22"/>
        </w:rPr>
      </w:pPr>
    </w:p>
    <w:p w14:paraId="05DC7CF1" w14:textId="77777777" w:rsidR="006A1343" w:rsidRPr="002B0256" w:rsidRDefault="00B723ED" w:rsidP="002B0256">
      <w:pPr>
        <w:pStyle w:val="ListParagraph"/>
        <w:numPr>
          <w:ilvl w:val="0"/>
          <w:numId w:val="4"/>
        </w:numPr>
        <w:jc w:val="both"/>
        <w:rPr>
          <w:rFonts w:ascii="Arial" w:hAnsi="Arial"/>
          <w:sz w:val="22"/>
          <w:szCs w:val="22"/>
        </w:rPr>
      </w:pPr>
      <w:hyperlink r:id="rId14" w:history="1">
        <w:r w:rsidR="002B0256" w:rsidRPr="002B0256">
          <w:rPr>
            <w:rStyle w:val="Hyperlink"/>
            <w:rFonts w:ascii="Arial" w:hAnsi="Arial"/>
            <w:sz w:val="22"/>
            <w:szCs w:val="22"/>
          </w:rPr>
          <w:t>Supplemental Guidance to RAGS: Region 4 Bulletins, Ecological Risk Assessment (2001)</w:t>
        </w:r>
      </w:hyperlink>
      <w:r w:rsidR="00820645" w:rsidRPr="002B0256">
        <w:rPr>
          <w:rFonts w:ascii="Arial" w:hAnsi="Arial"/>
          <w:sz w:val="22"/>
          <w:szCs w:val="22"/>
        </w:rPr>
        <w:t xml:space="preserve"> </w:t>
      </w:r>
    </w:p>
    <w:p w14:paraId="76B1D7B4" w14:textId="77777777" w:rsidR="006A1343" w:rsidRPr="00820645" w:rsidRDefault="006A1343" w:rsidP="006A1343">
      <w:pPr>
        <w:ind w:left="360"/>
        <w:jc w:val="both"/>
        <w:rPr>
          <w:rFonts w:ascii="Arial" w:hAnsi="Arial"/>
          <w:sz w:val="22"/>
          <w:szCs w:val="22"/>
        </w:rPr>
      </w:pPr>
    </w:p>
    <w:p w14:paraId="1FAD1066" w14:textId="77777777" w:rsidR="002B0256" w:rsidRDefault="00B723ED" w:rsidP="00820645">
      <w:pPr>
        <w:pStyle w:val="ListParagraph"/>
        <w:numPr>
          <w:ilvl w:val="0"/>
          <w:numId w:val="4"/>
        </w:numPr>
        <w:jc w:val="both"/>
        <w:rPr>
          <w:rFonts w:ascii="Arial" w:hAnsi="Arial"/>
          <w:sz w:val="22"/>
          <w:szCs w:val="22"/>
        </w:rPr>
      </w:pPr>
      <w:hyperlink r:id="rId15" w:history="1">
        <w:r w:rsidR="002B0256" w:rsidRPr="002B0256">
          <w:rPr>
            <w:rStyle w:val="Hyperlink"/>
            <w:rFonts w:ascii="Arial" w:hAnsi="Arial"/>
            <w:sz w:val="22"/>
            <w:szCs w:val="22"/>
          </w:rPr>
          <w:t>US EPA Region 5, RCRA Ecological Screening Levels (2003)</w:t>
        </w:r>
      </w:hyperlink>
    </w:p>
    <w:p w14:paraId="4D5AE435" w14:textId="77777777" w:rsidR="002B0256" w:rsidRPr="002B0256" w:rsidRDefault="002B0256" w:rsidP="002B0256">
      <w:pPr>
        <w:jc w:val="both"/>
        <w:rPr>
          <w:rFonts w:ascii="Arial" w:hAnsi="Arial"/>
          <w:sz w:val="22"/>
          <w:szCs w:val="22"/>
        </w:rPr>
      </w:pPr>
    </w:p>
    <w:p w14:paraId="32F1A636" w14:textId="77777777" w:rsidR="007B5270" w:rsidRPr="00820645" w:rsidRDefault="007B5270" w:rsidP="00820645">
      <w:pPr>
        <w:pStyle w:val="ListParagraph"/>
        <w:numPr>
          <w:ilvl w:val="0"/>
          <w:numId w:val="4"/>
        </w:numPr>
        <w:jc w:val="both"/>
        <w:rPr>
          <w:rFonts w:ascii="Arial" w:hAnsi="Arial"/>
          <w:sz w:val="22"/>
          <w:szCs w:val="22"/>
        </w:rPr>
      </w:pPr>
      <w:r w:rsidRPr="00820645">
        <w:rPr>
          <w:rFonts w:ascii="Arial" w:hAnsi="Arial"/>
          <w:sz w:val="22"/>
          <w:szCs w:val="22"/>
        </w:rPr>
        <w:t>Others</w:t>
      </w:r>
    </w:p>
    <w:p w14:paraId="7B82411A" w14:textId="77777777" w:rsidR="0086685F" w:rsidRPr="006A1343" w:rsidRDefault="0086685F" w:rsidP="006A1343">
      <w:pPr>
        <w:ind w:left="360"/>
        <w:jc w:val="both"/>
        <w:rPr>
          <w:rFonts w:ascii="Arial" w:hAnsi="Arial"/>
          <w:sz w:val="22"/>
          <w:szCs w:val="22"/>
        </w:rPr>
      </w:pPr>
    </w:p>
    <w:p w14:paraId="4F087A54" w14:textId="77777777" w:rsidR="008F12B3" w:rsidRDefault="00741C25" w:rsidP="00B00A0A">
      <w:pPr>
        <w:jc w:val="both"/>
        <w:rPr>
          <w:rFonts w:ascii="Arial" w:hAnsi="Arial"/>
          <w:sz w:val="22"/>
          <w:szCs w:val="22"/>
          <w:u w:val="single"/>
        </w:rPr>
      </w:pPr>
      <w:r w:rsidRPr="004C53A3">
        <w:rPr>
          <w:rFonts w:ascii="Arial" w:hAnsi="Arial"/>
          <w:sz w:val="22"/>
          <w:szCs w:val="22"/>
          <w:u w:val="single"/>
        </w:rPr>
        <w:t>2.2.2 Surface</w:t>
      </w:r>
      <w:r>
        <w:rPr>
          <w:rFonts w:ascii="Arial" w:hAnsi="Arial"/>
          <w:sz w:val="22"/>
          <w:szCs w:val="22"/>
          <w:u w:val="single"/>
        </w:rPr>
        <w:t xml:space="preserve"> Water Screening Levels</w:t>
      </w:r>
    </w:p>
    <w:p w14:paraId="1349DA56" w14:textId="77777777" w:rsidR="00741C25" w:rsidRDefault="00741C25" w:rsidP="00B00A0A">
      <w:pPr>
        <w:jc w:val="both"/>
        <w:rPr>
          <w:rFonts w:ascii="Arial" w:hAnsi="Arial"/>
          <w:sz w:val="22"/>
          <w:szCs w:val="22"/>
        </w:rPr>
      </w:pPr>
    </w:p>
    <w:p w14:paraId="1349C559" w14:textId="09EA1440" w:rsidR="00741C25" w:rsidRPr="00D479F6" w:rsidRDefault="00B723ED" w:rsidP="00D479F6">
      <w:pPr>
        <w:pStyle w:val="ListParagraph"/>
        <w:numPr>
          <w:ilvl w:val="0"/>
          <w:numId w:val="4"/>
        </w:numPr>
        <w:jc w:val="both"/>
        <w:rPr>
          <w:rFonts w:ascii="Arial" w:hAnsi="Arial"/>
          <w:sz w:val="22"/>
          <w:szCs w:val="22"/>
        </w:rPr>
      </w:pPr>
      <w:hyperlink r:id="rId16" w:history="1">
        <w:r w:rsidR="007B5270" w:rsidRPr="00D479F6">
          <w:rPr>
            <w:rStyle w:val="Hyperlink"/>
            <w:rFonts w:ascii="Arial" w:hAnsi="Arial"/>
            <w:sz w:val="22"/>
            <w:szCs w:val="22"/>
          </w:rPr>
          <w:t>FDEP Surface Water Quality Standards, Chapter 62-302, F.A.C. (2010)</w:t>
        </w:r>
      </w:hyperlink>
      <w:r w:rsidR="007B5270" w:rsidRPr="00741C25">
        <w:rPr>
          <w:rFonts w:ascii="Arial" w:hAnsi="Arial"/>
          <w:sz w:val="22"/>
          <w:szCs w:val="22"/>
        </w:rPr>
        <w:t xml:space="preserve"> </w:t>
      </w:r>
    </w:p>
    <w:p w14:paraId="1024B257" w14:textId="77777777" w:rsidR="00D479F6" w:rsidRPr="00741C25" w:rsidRDefault="00D479F6" w:rsidP="00741C25">
      <w:pPr>
        <w:pStyle w:val="ListParagraph"/>
        <w:jc w:val="both"/>
        <w:rPr>
          <w:rFonts w:ascii="Arial" w:hAnsi="Arial"/>
          <w:sz w:val="22"/>
          <w:szCs w:val="22"/>
        </w:rPr>
      </w:pPr>
    </w:p>
    <w:p w14:paraId="6ADA6043" w14:textId="4AAE5EBB" w:rsidR="00741C25" w:rsidRPr="00D479F6" w:rsidRDefault="00B723ED" w:rsidP="00D479F6">
      <w:pPr>
        <w:pStyle w:val="ListParagraph"/>
        <w:numPr>
          <w:ilvl w:val="0"/>
          <w:numId w:val="4"/>
        </w:numPr>
        <w:jc w:val="both"/>
        <w:rPr>
          <w:rFonts w:ascii="Arial" w:hAnsi="Arial"/>
          <w:sz w:val="22"/>
          <w:szCs w:val="22"/>
        </w:rPr>
      </w:pPr>
      <w:hyperlink r:id="rId17" w:history="1">
        <w:r w:rsidR="007B5270" w:rsidRPr="00D479F6">
          <w:rPr>
            <w:rStyle w:val="Hyperlink"/>
            <w:rFonts w:ascii="Arial" w:hAnsi="Arial"/>
            <w:sz w:val="22"/>
            <w:szCs w:val="22"/>
          </w:rPr>
          <w:t>FDEP Contaminant Cleanup Target Levels, Chapter 62-777, F.A.C. (2005)</w:t>
        </w:r>
      </w:hyperlink>
    </w:p>
    <w:p w14:paraId="56ABCE11" w14:textId="77777777" w:rsidR="00D479F6" w:rsidRPr="00741C25" w:rsidRDefault="00D479F6" w:rsidP="00741C25">
      <w:pPr>
        <w:ind w:left="720" w:hanging="720"/>
        <w:jc w:val="both"/>
        <w:rPr>
          <w:rFonts w:ascii="Arial" w:hAnsi="Arial"/>
          <w:sz w:val="18"/>
          <w:szCs w:val="18"/>
        </w:rPr>
      </w:pPr>
    </w:p>
    <w:p w14:paraId="180D5964" w14:textId="77777777" w:rsidR="007B5270" w:rsidRDefault="00B723ED" w:rsidP="00741C25">
      <w:pPr>
        <w:pStyle w:val="ListParagraph"/>
        <w:numPr>
          <w:ilvl w:val="0"/>
          <w:numId w:val="4"/>
        </w:numPr>
        <w:jc w:val="both"/>
        <w:rPr>
          <w:rFonts w:ascii="Arial" w:hAnsi="Arial"/>
          <w:sz w:val="22"/>
          <w:szCs w:val="22"/>
        </w:rPr>
      </w:pPr>
      <w:hyperlink r:id="rId18" w:history="1">
        <w:r w:rsidR="007B5270" w:rsidRPr="00047533">
          <w:rPr>
            <w:rStyle w:val="Hyperlink"/>
            <w:rFonts w:ascii="Arial" w:hAnsi="Arial"/>
            <w:sz w:val="22"/>
            <w:szCs w:val="22"/>
          </w:rPr>
          <w:t>U</w:t>
        </w:r>
        <w:r w:rsidR="00741C25" w:rsidRPr="00047533">
          <w:rPr>
            <w:rStyle w:val="Hyperlink"/>
            <w:rFonts w:ascii="Arial" w:hAnsi="Arial"/>
            <w:sz w:val="22"/>
            <w:szCs w:val="22"/>
          </w:rPr>
          <w:t xml:space="preserve">S EPA, National Recommended </w:t>
        </w:r>
        <w:r w:rsidR="007B5270" w:rsidRPr="00047533">
          <w:rPr>
            <w:rStyle w:val="Hyperlink"/>
            <w:rFonts w:ascii="Arial" w:hAnsi="Arial"/>
            <w:sz w:val="22"/>
            <w:szCs w:val="22"/>
          </w:rPr>
          <w:t>Water Quality Criteria (current)</w:t>
        </w:r>
      </w:hyperlink>
      <w:r w:rsidR="007B5270" w:rsidRPr="00741C25">
        <w:rPr>
          <w:rFonts w:ascii="Arial" w:hAnsi="Arial"/>
          <w:sz w:val="22"/>
          <w:szCs w:val="22"/>
        </w:rPr>
        <w:tab/>
      </w:r>
      <w:r w:rsidR="007B5270" w:rsidRPr="00741C25">
        <w:rPr>
          <w:rFonts w:ascii="Arial" w:hAnsi="Arial"/>
          <w:sz w:val="22"/>
          <w:szCs w:val="22"/>
        </w:rPr>
        <w:tab/>
      </w:r>
      <w:r w:rsidR="007B5270" w:rsidRPr="00741C25">
        <w:rPr>
          <w:rFonts w:ascii="Arial" w:hAnsi="Arial"/>
          <w:sz w:val="22"/>
          <w:szCs w:val="22"/>
        </w:rPr>
        <w:tab/>
        <w:t xml:space="preserve"> </w:t>
      </w:r>
    </w:p>
    <w:p w14:paraId="532B046E" w14:textId="77777777" w:rsidR="00741C25" w:rsidRPr="00741C25" w:rsidRDefault="00741C25" w:rsidP="00741C25">
      <w:pPr>
        <w:pStyle w:val="ListParagraph"/>
        <w:jc w:val="both"/>
        <w:rPr>
          <w:rFonts w:ascii="Arial" w:hAnsi="Arial"/>
          <w:sz w:val="22"/>
          <w:szCs w:val="22"/>
        </w:rPr>
      </w:pPr>
    </w:p>
    <w:p w14:paraId="3455C528" w14:textId="77777777" w:rsidR="00741C25" w:rsidRDefault="00B723ED" w:rsidP="00741C25">
      <w:pPr>
        <w:pStyle w:val="ListParagraph"/>
        <w:numPr>
          <w:ilvl w:val="0"/>
          <w:numId w:val="4"/>
        </w:numPr>
        <w:jc w:val="both"/>
        <w:rPr>
          <w:rFonts w:ascii="Arial" w:hAnsi="Arial"/>
          <w:sz w:val="22"/>
          <w:szCs w:val="22"/>
        </w:rPr>
      </w:pPr>
      <w:hyperlink r:id="rId19" w:history="1">
        <w:r w:rsidR="007B5270" w:rsidRPr="00047533">
          <w:rPr>
            <w:rStyle w:val="Hyperlink"/>
            <w:rFonts w:ascii="Arial" w:hAnsi="Arial"/>
            <w:sz w:val="22"/>
            <w:szCs w:val="22"/>
          </w:rPr>
          <w:t>Supplemental Guidance to RAGS: Region 4 Bulletins, Ecological Risk Assessment (2001)</w:t>
        </w:r>
      </w:hyperlink>
    </w:p>
    <w:p w14:paraId="59795729" w14:textId="77777777" w:rsidR="00741C25" w:rsidRPr="00741C25" w:rsidRDefault="00741C25" w:rsidP="009E7B43">
      <w:pPr>
        <w:ind w:firstLine="360"/>
        <w:jc w:val="both"/>
        <w:rPr>
          <w:rFonts w:ascii="Arial" w:hAnsi="Arial"/>
          <w:sz w:val="22"/>
          <w:szCs w:val="22"/>
        </w:rPr>
      </w:pPr>
      <w:r>
        <w:rPr>
          <w:rFonts w:ascii="Arial" w:hAnsi="Arial"/>
          <w:sz w:val="22"/>
          <w:szCs w:val="22"/>
        </w:rPr>
        <w:t xml:space="preserve"> </w:t>
      </w:r>
    </w:p>
    <w:p w14:paraId="1F11B29D" w14:textId="77777777" w:rsidR="007B5270" w:rsidRDefault="00B723ED" w:rsidP="00741C25">
      <w:pPr>
        <w:pStyle w:val="ListParagraph"/>
        <w:numPr>
          <w:ilvl w:val="0"/>
          <w:numId w:val="4"/>
        </w:numPr>
        <w:jc w:val="both"/>
        <w:rPr>
          <w:rFonts w:ascii="Arial" w:hAnsi="Arial"/>
          <w:sz w:val="22"/>
          <w:szCs w:val="22"/>
        </w:rPr>
      </w:pPr>
      <w:hyperlink r:id="rId20" w:history="1">
        <w:r w:rsidR="007B5270" w:rsidRPr="009E7B43">
          <w:rPr>
            <w:rStyle w:val="Hyperlink"/>
            <w:rFonts w:ascii="Arial" w:hAnsi="Arial"/>
            <w:sz w:val="22"/>
            <w:szCs w:val="22"/>
          </w:rPr>
          <w:t>US EPA Region 3, Freshwater Screening Benchmarks (</w:t>
        </w:r>
        <w:r w:rsidR="009E7B43" w:rsidRPr="009E7B43">
          <w:rPr>
            <w:rStyle w:val="Hyperlink"/>
            <w:rFonts w:ascii="Arial" w:hAnsi="Arial"/>
            <w:sz w:val="22"/>
            <w:szCs w:val="22"/>
          </w:rPr>
          <w:t>2006</w:t>
        </w:r>
        <w:r w:rsidR="007B5270" w:rsidRPr="009E7B43">
          <w:rPr>
            <w:rStyle w:val="Hyperlink"/>
            <w:rFonts w:ascii="Arial" w:hAnsi="Arial"/>
            <w:sz w:val="22"/>
            <w:szCs w:val="22"/>
          </w:rPr>
          <w:t>)</w:t>
        </w:r>
      </w:hyperlink>
      <w:r w:rsidR="00741C25">
        <w:rPr>
          <w:rFonts w:ascii="Arial" w:hAnsi="Arial"/>
          <w:sz w:val="22"/>
          <w:szCs w:val="22"/>
        </w:rPr>
        <w:t xml:space="preserve"> </w:t>
      </w:r>
    </w:p>
    <w:p w14:paraId="04FDE809" w14:textId="77777777" w:rsidR="001112A4" w:rsidRPr="00741C25" w:rsidRDefault="001112A4" w:rsidP="001112A4">
      <w:pPr>
        <w:pStyle w:val="ListParagraph"/>
        <w:jc w:val="both"/>
        <w:rPr>
          <w:rFonts w:ascii="Arial" w:hAnsi="Arial"/>
          <w:sz w:val="22"/>
          <w:szCs w:val="22"/>
        </w:rPr>
      </w:pPr>
    </w:p>
    <w:p w14:paraId="1BBB6130" w14:textId="77777777" w:rsidR="007B5270" w:rsidRDefault="007B5270" w:rsidP="00741C25">
      <w:pPr>
        <w:pStyle w:val="ListParagraph"/>
        <w:numPr>
          <w:ilvl w:val="0"/>
          <w:numId w:val="4"/>
        </w:numPr>
        <w:jc w:val="both"/>
        <w:rPr>
          <w:rFonts w:ascii="Arial" w:hAnsi="Arial"/>
          <w:sz w:val="22"/>
          <w:szCs w:val="22"/>
        </w:rPr>
      </w:pPr>
      <w:r w:rsidRPr="00741C25">
        <w:rPr>
          <w:rFonts w:ascii="Arial" w:hAnsi="Arial"/>
          <w:sz w:val="22"/>
          <w:szCs w:val="22"/>
        </w:rPr>
        <w:t>Others</w:t>
      </w:r>
    </w:p>
    <w:p w14:paraId="7E8C1F96" w14:textId="77777777" w:rsidR="009E7B43" w:rsidRPr="009E7B43" w:rsidRDefault="009E7B43" w:rsidP="009E7B43">
      <w:pPr>
        <w:jc w:val="both"/>
        <w:rPr>
          <w:rFonts w:ascii="Arial" w:hAnsi="Arial"/>
          <w:sz w:val="22"/>
          <w:szCs w:val="22"/>
        </w:rPr>
      </w:pPr>
    </w:p>
    <w:p w14:paraId="60A4C3B0" w14:textId="77777777" w:rsidR="009E7B43" w:rsidRDefault="009E7B43" w:rsidP="009E7B43">
      <w:pPr>
        <w:jc w:val="both"/>
        <w:rPr>
          <w:rFonts w:ascii="Arial" w:hAnsi="Arial"/>
          <w:sz w:val="22"/>
          <w:szCs w:val="22"/>
          <w:u w:val="single"/>
        </w:rPr>
      </w:pPr>
      <w:r w:rsidRPr="004C53A3">
        <w:rPr>
          <w:rFonts w:ascii="Arial" w:hAnsi="Arial"/>
          <w:sz w:val="22"/>
          <w:szCs w:val="22"/>
          <w:u w:val="single"/>
        </w:rPr>
        <w:t>2.2.3 Sediment</w:t>
      </w:r>
      <w:r>
        <w:rPr>
          <w:rFonts w:ascii="Arial" w:hAnsi="Arial"/>
          <w:sz w:val="22"/>
          <w:szCs w:val="22"/>
          <w:u w:val="single"/>
        </w:rPr>
        <w:t xml:space="preserve"> Screening Levels</w:t>
      </w:r>
    </w:p>
    <w:p w14:paraId="2BF41D11" w14:textId="77777777" w:rsidR="009E7B43" w:rsidRDefault="009E7B43" w:rsidP="009E7B43">
      <w:pPr>
        <w:jc w:val="both"/>
        <w:rPr>
          <w:rFonts w:ascii="Arial" w:hAnsi="Arial"/>
          <w:sz w:val="22"/>
          <w:szCs w:val="22"/>
        </w:rPr>
      </w:pPr>
    </w:p>
    <w:p w14:paraId="4F0BDEC1" w14:textId="77777777" w:rsidR="007A53D4" w:rsidRDefault="00B723ED" w:rsidP="009E7B43">
      <w:pPr>
        <w:pStyle w:val="ListParagraph"/>
        <w:numPr>
          <w:ilvl w:val="0"/>
          <w:numId w:val="9"/>
        </w:numPr>
        <w:jc w:val="both"/>
        <w:rPr>
          <w:rFonts w:ascii="Arial" w:hAnsi="Arial"/>
          <w:sz w:val="22"/>
          <w:szCs w:val="22"/>
        </w:rPr>
      </w:pPr>
      <w:hyperlink r:id="rId21" w:history="1">
        <w:r w:rsidR="002A7578" w:rsidRPr="007A53D4">
          <w:rPr>
            <w:rStyle w:val="Hyperlink"/>
            <w:rFonts w:ascii="Arial" w:hAnsi="Arial"/>
            <w:sz w:val="22"/>
            <w:szCs w:val="22"/>
          </w:rPr>
          <w:t xml:space="preserve">Sediment Quality Assessment Guidelines for Florida Inland Waters (2003) </w:t>
        </w:r>
        <w:r w:rsidR="007A53D4" w:rsidRPr="007A53D4">
          <w:rPr>
            <w:rStyle w:val="Hyperlink"/>
            <w:rFonts w:ascii="Arial" w:hAnsi="Arial"/>
            <w:sz w:val="22"/>
            <w:szCs w:val="22"/>
          </w:rPr>
          <w:t>–</w:t>
        </w:r>
        <w:r w:rsidR="002A7578" w:rsidRPr="007A53D4">
          <w:rPr>
            <w:rStyle w:val="Hyperlink"/>
            <w:rFonts w:ascii="Arial" w:hAnsi="Arial"/>
            <w:sz w:val="22"/>
            <w:szCs w:val="22"/>
          </w:rPr>
          <w:t xml:space="preserve"> TECs</w:t>
        </w:r>
      </w:hyperlink>
    </w:p>
    <w:p w14:paraId="156D7A31" w14:textId="77777777" w:rsidR="002A7578" w:rsidRPr="009E7B43" w:rsidRDefault="002A7578" w:rsidP="007A53D4">
      <w:pPr>
        <w:pStyle w:val="ListParagraph"/>
        <w:jc w:val="both"/>
        <w:rPr>
          <w:rFonts w:ascii="Arial" w:hAnsi="Arial"/>
          <w:sz w:val="22"/>
          <w:szCs w:val="22"/>
        </w:rPr>
      </w:pPr>
      <w:r w:rsidRPr="009E7B43">
        <w:rPr>
          <w:rFonts w:ascii="Arial" w:hAnsi="Arial"/>
          <w:sz w:val="22"/>
          <w:szCs w:val="22"/>
        </w:rPr>
        <w:lastRenderedPageBreak/>
        <w:t xml:space="preserve"> </w:t>
      </w:r>
    </w:p>
    <w:p w14:paraId="23F568BE" w14:textId="77777777" w:rsidR="002A7578" w:rsidRDefault="00B723ED" w:rsidP="009E7B43">
      <w:pPr>
        <w:pStyle w:val="ListParagraph"/>
        <w:numPr>
          <w:ilvl w:val="0"/>
          <w:numId w:val="9"/>
        </w:numPr>
        <w:jc w:val="both"/>
        <w:rPr>
          <w:rFonts w:ascii="Arial" w:hAnsi="Arial"/>
          <w:sz w:val="22"/>
          <w:szCs w:val="22"/>
        </w:rPr>
      </w:pPr>
      <w:hyperlink r:id="rId22" w:history="1">
        <w:r w:rsidR="002A7578" w:rsidRPr="007A53D4">
          <w:rPr>
            <w:rStyle w:val="Hyperlink"/>
            <w:rFonts w:ascii="Arial" w:hAnsi="Arial"/>
            <w:sz w:val="22"/>
            <w:szCs w:val="22"/>
          </w:rPr>
          <w:t>Sediment Quality Assessment Guidelines for Florida Coastal Waters (1994) - TELs</w:t>
        </w:r>
      </w:hyperlink>
      <w:r w:rsidR="007A53D4">
        <w:rPr>
          <w:rFonts w:ascii="Arial" w:hAnsi="Arial"/>
          <w:sz w:val="22"/>
          <w:szCs w:val="22"/>
        </w:rPr>
        <w:t xml:space="preserve"> </w:t>
      </w:r>
    </w:p>
    <w:p w14:paraId="18C00AAE" w14:textId="77777777" w:rsidR="007A53D4" w:rsidRPr="007A53D4" w:rsidRDefault="007A53D4" w:rsidP="007A53D4">
      <w:pPr>
        <w:jc w:val="both"/>
        <w:rPr>
          <w:rFonts w:ascii="Arial" w:hAnsi="Arial"/>
          <w:sz w:val="22"/>
          <w:szCs w:val="22"/>
        </w:rPr>
      </w:pPr>
    </w:p>
    <w:p w14:paraId="1A667DE5" w14:textId="77777777" w:rsidR="002A7578" w:rsidRDefault="00B723ED" w:rsidP="009E7B43">
      <w:pPr>
        <w:pStyle w:val="ListParagraph"/>
        <w:numPr>
          <w:ilvl w:val="0"/>
          <w:numId w:val="9"/>
        </w:numPr>
        <w:jc w:val="both"/>
        <w:rPr>
          <w:rFonts w:ascii="Arial" w:hAnsi="Arial"/>
          <w:sz w:val="22"/>
          <w:szCs w:val="22"/>
        </w:rPr>
      </w:pPr>
      <w:hyperlink r:id="rId23" w:history="1">
        <w:r w:rsidR="002A7578" w:rsidRPr="007A53D4">
          <w:rPr>
            <w:rStyle w:val="Hyperlink"/>
            <w:rFonts w:ascii="Arial" w:hAnsi="Arial"/>
            <w:sz w:val="22"/>
            <w:szCs w:val="22"/>
          </w:rPr>
          <w:t>Supplemental Guidance to RAGS: Region 4 Bulletins, Ecological Risk Assessment (2001)</w:t>
        </w:r>
      </w:hyperlink>
      <w:r w:rsidR="002A7578" w:rsidRPr="009E7B43">
        <w:rPr>
          <w:rFonts w:ascii="Arial" w:hAnsi="Arial"/>
          <w:sz w:val="22"/>
          <w:szCs w:val="22"/>
        </w:rPr>
        <w:t xml:space="preserve"> </w:t>
      </w:r>
    </w:p>
    <w:p w14:paraId="68F87502" w14:textId="77777777" w:rsidR="007A53D4" w:rsidRPr="007A53D4" w:rsidRDefault="007A53D4" w:rsidP="007A53D4">
      <w:pPr>
        <w:jc w:val="both"/>
        <w:rPr>
          <w:rFonts w:ascii="Arial" w:hAnsi="Arial"/>
          <w:sz w:val="22"/>
          <w:szCs w:val="22"/>
        </w:rPr>
      </w:pPr>
    </w:p>
    <w:p w14:paraId="1EADBE1F" w14:textId="77777777" w:rsidR="002A7578" w:rsidRPr="007A53D4" w:rsidRDefault="00B723ED" w:rsidP="007A53D4">
      <w:pPr>
        <w:pStyle w:val="ListParagraph"/>
        <w:numPr>
          <w:ilvl w:val="0"/>
          <w:numId w:val="9"/>
        </w:numPr>
        <w:jc w:val="both"/>
        <w:rPr>
          <w:rFonts w:ascii="Arial" w:hAnsi="Arial"/>
          <w:sz w:val="22"/>
          <w:szCs w:val="22"/>
        </w:rPr>
      </w:pPr>
      <w:hyperlink r:id="rId24" w:history="1">
        <w:r w:rsidR="002A7578" w:rsidRPr="007A53D4">
          <w:rPr>
            <w:rStyle w:val="Hyperlink"/>
            <w:rFonts w:ascii="Arial" w:hAnsi="Arial"/>
            <w:sz w:val="22"/>
            <w:szCs w:val="22"/>
          </w:rPr>
          <w:t>EPA Region III BTAG, Freshwater Sediment Screening Benchmarks (2006)</w:t>
        </w:r>
      </w:hyperlink>
      <w:r w:rsidR="002A7578" w:rsidRPr="009E7B43">
        <w:rPr>
          <w:rFonts w:ascii="Arial" w:hAnsi="Arial"/>
          <w:sz w:val="22"/>
          <w:szCs w:val="22"/>
        </w:rPr>
        <w:t xml:space="preserve"> </w:t>
      </w:r>
    </w:p>
    <w:p w14:paraId="0A63706D" w14:textId="77777777" w:rsidR="007A53D4" w:rsidRPr="007A53D4" w:rsidRDefault="007A53D4" w:rsidP="007A53D4">
      <w:pPr>
        <w:jc w:val="both"/>
        <w:rPr>
          <w:rFonts w:ascii="Arial" w:hAnsi="Arial"/>
          <w:sz w:val="22"/>
          <w:szCs w:val="22"/>
        </w:rPr>
      </w:pPr>
    </w:p>
    <w:p w14:paraId="23DCABD0" w14:textId="77777777" w:rsidR="002A7578" w:rsidRPr="009E7B43" w:rsidRDefault="002A7578" w:rsidP="009E7B43">
      <w:pPr>
        <w:pStyle w:val="ListParagraph"/>
        <w:numPr>
          <w:ilvl w:val="0"/>
          <w:numId w:val="9"/>
        </w:numPr>
        <w:jc w:val="both"/>
        <w:rPr>
          <w:rFonts w:ascii="Arial" w:hAnsi="Arial"/>
          <w:sz w:val="22"/>
          <w:szCs w:val="22"/>
        </w:rPr>
      </w:pPr>
      <w:r w:rsidRPr="009E7B43">
        <w:rPr>
          <w:rFonts w:ascii="Arial" w:hAnsi="Arial"/>
          <w:sz w:val="22"/>
          <w:szCs w:val="22"/>
        </w:rPr>
        <w:t>Others</w:t>
      </w:r>
    </w:p>
    <w:p w14:paraId="63B81677" w14:textId="77777777" w:rsidR="009E7B43" w:rsidRPr="009E7B43" w:rsidRDefault="009E7B43" w:rsidP="007A53D4">
      <w:pPr>
        <w:pStyle w:val="ListParagraph"/>
        <w:jc w:val="both"/>
        <w:rPr>
          <w:rFonts w:ascii="Arial" w:hAnsi="Arial"/>
          <w:sz w:val="22"/>
          <w:szCs w:val="22"/>
        </w:rPr>
      </w:pPr>
    </w:p>
    <w:p w14:paraId="2842AD25" w14:textId="77777777" w:rsidR="00741C25" w:rsidRDefault="002B26F4" w:rsidP="002B26F4">
      <w:pPr>
        <w:jc w:val="both"/>
        <w:rPr>
          <w:rFonts w:ascii="Arial" w:hAnsi="Arial"/>
          <w:sz w:val="22"/>
          <w:szCs w:val="22"/>
        </w:rPr>
      </w:pPr>
      <w:r w:rsidRPr="00C10F01">
        <w:rPr>
          <w:rFonts w:ascii="Arial" w:hAnsi="Arial"/>
          <w:i/>
          <w:sz w:val="22"/>
          <w:szCs w:val="22"/>
        </w:rPr>
        <w:t>2.3</w:t>
      </w:r>
      <w:r>
        <w:rPr>
          <w:rFonts w:ascii="Arial" w:hAnsi="Arial"/>
          <w:sz w:val="22"/>
          <w:szCs w:val="22"/>
        </w:rPr>
        <w:t xml:space="preserve"> </w:t>
      </w:r>
      <w:r w:rsidR="00F23F2D">
        <w:rPr>
          <w:rFonts w:ascii="Arial" w:hAnsi="Arial"/>
          <w:i/>
          <w:sz w:val="22"/>
          <w:szCs w:val="22"/>
        </w:rPr>
        <w:t>Screening Level Refinement</w:t>
      </w:r>
    </w:p>
    <w:p w14:paraId="20F93D15" w14:textId="77777777" w:rsidR="002B26F4" w:rsidRDefault="002B26F4" w:rsidP="002B26F4">
      <w:pPr>
        <w:jc w:val="both"/>
        <w:rPr>
          <w:rFonts w:ascii="Arial" w:hAnsi="Arial"/>
          <w:sz w:val="22"/>
          <w:szCs w:val="22"/>
        </w:rPr>
      </w:pPr>
    </w:p>
    <w:p w14:paraId="14A923E6" w14:textId="77777777" w:rsidR="00F23F2D" w:rsidRDefault="00F23F2D" w:rsidP="002B26F4">
      <w:pPr>
        <w:jc w:val="both"/>
        <w:rPr>
          <w:rFonts w:ascii="Arial" w:hAnsi="Arial"/>
          <w:sz w:val="22"/>
          <w:szCs w:val="22"/>
        </w:rPr>
      </w:pPr>
      <w:r>
        <w:rPr>
          <w:rFonts w:ascii="Arial" w:hAnsi="Arial"/>
          <w:sz w:val="22"/>
          <w:szCs w:val="22"/>
        </w:rPr>
        <w:tab/>
      </w:r>
      <w:r w:rsidR="00DC0B02">
        <w:rPr>
          <w:rFonts w:ascii="Arial" w:hAnsi="Arial"/>
          <w:sz w:val="22"/>
          <w:szCs w:val="22"/>
        </w:rPr>
        <w:t xml:space="preserve">Although assessment endpoints are not usually developed in Tier 1, </w:t>
      </w:r>
      <w:r w:rsidR="006D2AD5">
        <w:rPr>
          <w:rFonts w:ascii="Arial" w:hAnsi="Arial"/>
          <w:sz w:val="22"/>
          <w:szCs w:val="22"/>
        </w:rPr>
        <w:t>a</w:t>
      </w:r>
      <w:r w:rsidR="00DC0B02">
        <w:rPr>
          <w:rFonts w:ascii="Arial" w:hAnsi="Arial"/>
          <w:sz w:val="22"/>
          <w:szCs w:val="22"/>
        </w:rPr>
        <w:t xml:space="preserve"> screening level assessment</w:t>
      </w:r>
      <w:r w:rsidR="006D2AD5" w:rsidRPr="006D2AD5">
        <w:rPr>
          <w:rFonts w:ascii="Arial" w:hAnsi="Arial"/>
          <w:sz w:val="22"/>
          <w:szCs w:val="22"/>
        </w:rPr>
        <w:t xml:space="preserve"> </w:t>
      </w:r>
      <w:r w:rsidR="00030CA3">
        <w:rPr>
          <w:rFonts w:ascii="Arial" w:hAnsi="Arial"/>
          <w:sz w:val="22"/>
          <w:szCs w:val="22"/>
        </w:rPr>
        <w:t>may</w:t>
      </w:r>
      <w:r w:rsidR="00851437">
        <w:rPr>
          <w:rFonts w:ascii="Arial" w:hAnsi="Arial"/>
          <w:sz w:val="22"/>
          <w:szCs w:val="22"/>
        </w:rPr>
        <w:t xml:space="preserve"> be refined by focusing</w:t>
      </w:r>
      <w:r w:rsidR="006D2AD5">
        <w:rPr>
          <w:rFonts w:ascii="Arial" w:hAnsi="Arial"/>
          <w:sz w:val="22"/>
          <w:szCs w:val="22"/>
        </w:rPr>
        <w:t xml:space="preserve"> on</w:t>
      </w:r>
      <w:r w:rsidR="006D2AD5" w:rsidRPr="006D2AD5">
        <w:rPr>
          <w:rFonts w:ascii="Arial" w:hAnsi="Arial"/>
          <w:sz w:val="22"/>
          <w:szCs w:val="22"/>
        </w:rPr>
        <w:t xml:space="preserve"> </w:t>
      </w:r>
      <w:r w:rsidR="006D2AD5">
        <w:rPr>
          <w:rFonts w:ascii="Arial" w:hAnsi="Arial"/>
          <w:sz w:val="22"/>
          <w:szCs w:val="22"/>
        </w:rPr>
        <w:t xml:space="preserve">species </w:t>
      </w:r>
      <w:r w:rsidR="006A3187">
        <w:rPr>
          <w:rFonts w:ascii="Arial" w:hAnsi="Arial"/>
          <w:sz w:val="22"/>
          <w:szCs w:val="22"/>
        </w:rPr>
        <w:t>likely to be chosen as assessment endpoints</w:t>
      </w:r>
      <w:r w:rsidR="00DC0B02">
        <w:rPr>
          <w:rFonts w:ascii="Arial" w:hAnsi="Arial"/>
          <w:sz w:val="22"/>
          <w:szCs w:val="22"/>
        </w:rPr>
        <w:t>.</w:t>
      </w:r>
      <w:r w:rsidR="006D2AD5">
        <w:rPr>
          <w:rFonts w:ascii="Arial" w:hAnsi="Arial"/>
          <w:sz w:val="22"/>
          <w:szCs w:val="22"/>
        </w:rPr>
        <w:t xml:space="preserve">  </w:t>
      </w:r>
      <w:r w:rsidR="004B76E6">
        <w:rPr>
          <w:rFonts w:ascii="Arial" w:hAnsi="Arial"/>
          <w:sz w:val="22"/>
          <w:szCs w:val="22"/>
        </w:rPr>
        <w:t xml:space="preserve">For example, if the management goal is to maintain the predatory fish population, the screening level assessment could focus on benthic invertebrates and finfish.  These species are required as a prey base to maintain higher trophic level populations and have been chosen as assessment endpoints for similar management goals.  </w:t>
      </w:r>
      <w:r w:rsidR="006D2AD5">
        <w:rPr>
          <w:rFonts w:ascii="Arial" w:hAnsi="Arial"/>
          <w:sz w:val="22"/>
          <w:szCs w:val="22"/>
        </w:rPr>
        <w:t>To</w:t>
      </w:r>
      <w:r w:rsidR="006A3187">
        <w:rPr>
          <w:rFonts w:ascii="Arial" w:hAnsi="Arial"/>
          <w:sz w:val="22"/>
          <w:szCs w:val="22"/>
        </w:rPr>
        <w:t xml:space="preserve"> refine the assessment, to</w:t>
      </w:r>
      <w:r w:rsidR="006D2AD5">
        <w:rPr>
          <w:rFonts w:ascii="Arial" w:hAnsi="Arial"/>
          <w:sz w:val="22"/>
          <w:szCs w:val="22"/>
        </w:rPr>
        <w:t xml:space="preserve">xicity reference values </w:t>
      </w:r>
      <w:r w:rsidR="0093692C">
        <w:rPr>
          <w:rFonts w:ascii="Arial" w:hAnsi="Arial"/>
          <w:sz w:val="22"/>
          <w:szCs w:val="22"/>
        </w:rPr>
        <w:t xml:space="preserve">(TRVs) </w:t>
      </w:r>
      <w:r w:rsidR="006D2AD5">
        <w:rPr>
          <w:rFonts w:ascii="Arial" w:hAnsi="Arial"/>
          <w:sz w:val="22"/>
          <w:szCs w:val="22"/>
        </w:rPr>
        <w:t xml:space="preserve">and conservative exposure factors are used to derive media concentrations protective of </w:t>
      </w:r>
      <w:r w:rsidR="006A3187">
        <w:rPr>
          <w:rFonts w:ascii="Arial" w:hAnsi="Arial"/>
          <w:sz w:val="22"/>
          <w:szCs w:val="22"/>
        </w:rPr>
        <w:t>different</w:t>
      </w:r>
      <w:r w:rsidR="006D2AD5">
        <w:rPr>
          <w:rFonts w:ascii="Arial" w:hAnsi="Arial"/>
          <w:sz w:val="22"/>
          <w:szCs w:val="22"/>
        </w:rPr>
        <w:t xml:space="preserve"> </w:t>
      </w:r>
      <w:r w:rsidR="00987321">
        <w:rPr>
          <w:rFonts w:ascii="Arial" w:hAnsi="Arial"/>
          <w:sz w:val="22"/>
          <w:szCs w:val="22"/>
        </w:rPr>
        <w:t>foraging guilds</w:t>
      </w:r>
      <w:r w:rsidR="006D2AD5">
        <w:rPr>
          <w:rFonts w:ascii="Arial" w:hAnsi="Arial"/>
          <w:sz w:val="22"/>
          <w:szCs w:val="22"/>
        </w:rPr>
        <w:t xml:space="preserve">.  This is commonly used for </w:t>
      </w:r>
      <w:r w:rsidR="003D012C">
        <w:rPr>
          <w:rFonts w:ascii="Arial" w:hAnsi="Arial"/>
          <w:sz w:val="22"/>
          <w:szCs w:val="22"/>
        </w:rPr>
        <w:t xml:space="preserve">the assessment of </w:t>
      </w:r>
      <w:r w:rsidR="006D2AD5">
        <w:rPr>
          <w:rFonts w:ascii="Arial" w:hAnsi="Arial"/>
          <w:sz w:val="22"/>
          <w:szCs w:val="22"/>
        </w:rPr>
        <w:t xml:space="preserve">higher trophic level species </w:t>
      </w:r>
      <w:r w:rsidR="003D012C">
        <w:rPr>
          <w:rFonts w:ascii="Arial" w:hAnsi="Arial"/>
          <w:sz w:val="22"/>
          <w:szCs w:val="22"/>
        </w:rPr>
        <w:t>w</w:t>
      </w:r>
      <w:r w:rsidR="00EF6A1F">
        <w:rPr>
          <w:rFonts w:ascii="Arial" w:hAnsi="Arial"/>
          <w:sz w:val="22"/>
          <w:szCs w:val="22"/>
        </w:rPr>
        <w:t>here</w:t>
      </w:r>
      <w:r w:rsidR="003D012C">
        <w:rPr>
          <w:rFonts w:ascii="Arial" w:hAnsi="Arial"/>
          <w:sz w:val="22"/>
          <w:szCs w:val="22"/>
        </w:rPr>
        <w:t xml:space="preserve"> the default screening levels </w:t>
      </w:r>
      <w:r w:rsidR="00E17153">
        <w:rPr>
          <w:rFonts w:ascii="Arial" w:hAnsi="Arial"/>
          <w:sz w:val="22"/>
          <w:szCs w:val="22"/>
        </w:rPr>
        <w:t xml:space="preserve">tend to be highly </w:t>
      </w:r>
      <w:r w:rsidR="00987321">
        <w:rPr>
          <w:rFonts w:ascii="Arial" w:hAnsi="Arial"/>
          <w:sz w:val="22"/>
          <w:szCs w:val="22"/>
        </w:rPr>
        <w:t>conservative</w:t>
      </w:r>
      <w:r w:rsidR="006D2AD5">
        <w:rPr>
          <w:rFonts w:ascii="Arial" w:hAnsi="Arial"/>
          <w:sz w:val="22"/>
          <w:szCs w:val="22"/>
        </w:rPr>
        <w:t xml:space="preserve">. </w:t>
      </w:r>
      <w:r w:rsidR="006A3187">
        <w:rPr>
          <w:rFonts w:ascii="Arial" w:hAnsi="Arial"/>
          <w:sz w:val="22"/>
          <w:szCs w:val="22"/>
        </w:rPr>
        <w:t xml:space="preserve"> In the refinement, some exposure parameters may be changed to reflect more realistic parameters for the receptors of concern.  </w:t>
      </w:r>
      <w:r w:rsidR="0093692C">
        <w:rPr>
          <w:rFonts w:ascii="Arial" w:hAnsi="Arial"/>
          <w:sz w:val="22"/>
          <w:szCs w:val="22"/>
        </w:rPr>
        <w:t>These adjustments are usually obtained from the literature and are not site-specific (e.g., area use factor based on home range).  I</w:t>
      </w:r>
      <w:r w:rsidR="006A3187">
        <w:rPr>
          <w:rFonts w:ascii="Arial" w:hAnsi="Arial"/>
          <w:sz w:val="22"/>
          <w:szCs w:val="22"/>
        </w:rPr>
        <w:t xml:space="preserve">nclusion of site-specific data is addressed under </w:t>
      </w:r>
      <w:r w:rsidR="0093692C">
        <w:rPr>
          <w:rFonts w:ascii="Arial" w:hAnsi="Arial"/>
          <w:sz w:val="22"/>
          <w:szCs w:val="22"/>
        </w:rPr>
        <w:t>the</w:t>
      </w:r>
      <w:r w:rsidR="006A3187">
        <w:rPr>
          <w:rFonts w:ascii="Arial" w:hAnsi="Arial"/>
          <w:sz w:val="22"/>
          <w:szCs w:val="22"/>
        </w:rPr>
        <w:t xml:space="preserve"> Tier II assessment.  </w:t>
      </w:r>
      <w:r w:rsidR="00EF6A1F">
        <w:rPr>
          <w:rFonts w:ascii="Arial" w:hAnsi="Arial"/>
          <w:sz w:val="22"/>
          <w:szCs w:val="22"/>
        </w:rPr>
        <w:t>This</w:t>
      </w:r>
      <w:r w:rsidR="006A3187">
        <w:rPr>
          <w:rFonts w:ascii="Arial" w:hAnsi="Arial"/>
          <w:sz w:val="22"/>
          <w:szCs w:val="22"/>
        </w:rPr>
        <w:t xml:space="preserve"> does not imply that a screening level refinement </w:t>
      </w:r>
      <w:r w:rsidR="000C1466">
        <w:rPr>
          <w:rFonts w:ascii="Arial" w:hAnsi="Arial"/>
          <w:sz w:val="22"/>
          <w:szCs w:val="22"/>
        </w:rPr>
        <w:t>must</w:t>
      </w:r>
      <w:r w:rsidR="0093692C">
        <w:rPr>
          <w:rFonts w:ascii="Arial" w:hAnsi="Arial"/>
          <w:sz w:val="22"/>
          <w:szCs w:val="22"/>
        </w:rPr>
        <w:t xml:space="preserve"> exclude</w:t>
      </w:r>
      <w:r w:rsidR="006A3187">
        <w:rPr>
          <w:rFonts w:ascii="Arial" w:hAnsi="Arial"/>
          <w:sz w:val="22"/>
          <w:szCs w:val="22"/>
        </w:rPr>
        <w:t xml:space="preserve"> site-specific data.  </w:t>
      </w:r>
      <w:r w:rsidR="0093692C">
        <w:rPr>
          <w:rFonts w:ascii="Arial" w:hAnsi="Arial"/>
          <w:sz w:val="22"/>
          <w:szCs w:val="22"/>
        </w:rPr>
        <w:t>I</w:t>
      </w:r>
      <w:r w:rsidR="006A3187">
        <w:rPr>
          <w:rFonts w:ascii="Arial" w:hAnsi="Arial"/>
          <w:sz w:val="22"/>
          <w:szCs w:val="22"/>
        </w:rPr>
        <w:t>t indicates</w:t>
      </w:r>
      <w:r w:rsidR="0093692C">
        <w:rPr>
          <w:rFonts w:ascii="Arial" w:hAnsi="Arial"/>
          <w:sz w:val="22"/>
          <w:szCs w:val="22"/>
        </w:rPr>
        <w:t>, however,</w:t>
      </w:r>
      <w:r w:rsidR="006A3187">
        <w:rPr>
          <w:rFonts w:ascii="Arial" w:hAnsi="Arial"/>
          <w:sz w:val="22"/>
          <w:szCs w:val="22"/>
        </w:rPr>
        <w:t xml:space="preserve"> that the </w:t>
      </w:r>
      <w:r w:rsidR="0093692C">
        <w:rPr>
          <w:rFonts w:ascii="Arial" w:hAnsi="Arial"/>
          <w:sz w:val="22"/>
          <w:szCs w:val="22"/>
        </w:rPr>
        <w:t>inclusion of site-specific data requires additional considerations, which are addressed in the following sections.</w:t>
      </w:r>
      <w:r w:rsidR="006A3187">
        <w:rPr>
          <w:rFonts w:ascii="Arial" w:hAnsi="Arial"/>
          <w:sz w:val="22"/>
          <w:szCs w:val="22"/>
        </w:rPr>
        <w:t xml:space="preserve">  </w:t>
      </w:r>
    </w:p>
    <w:p w14:paraId="37D2FD28" w14:textId="77777777" w:rsidR="0093692C" w:rsidRDefault="0093692C" w:rsidP="002B26F4">
      <w:pPr>
        <w:jc w:val="both"/>
        <w:rPr>
          <w:rFonts w:ascii="Arial" w:hAnsi="Arial"/>
          <w:sz w:val="22"/>
          <w:szCs w:val="22"/>
        </w:rPr>
      </w:pPr>
    </w:p>
    <w:p w14:paraId="3446AFC3" w14:textId="77777777" w:rsidR="0093692C" w:rsidRDefault="0093692C" w:rsidP="002B26F4">
      <w:pPr>
        <w:jc w:val="both"/>
        <w:rPr>
          <w:rFonts w:ascii="Arial" w:hAnsi="Arial"/>
          <w:sz w:val="22"/>
          <w:szCs w:val="22"/>
        </w:rPr>
      </w:pPr>
      <w:r>
        <w:rPr>
          <w:rFonts w:ascii="Arial" w:hAnsi="Arial"/>
          <w:sz w:val="22"/>
          <w:szCs w:val="22"/>
        </w:rPr>
        <w:tab/>
        <w:t xml:space="preserve">Unlike screening levels, there </w:t>
      </w:r>
      <w:r w:rsidR="00987321">
        <w:rPr>
          <w:rFonts w:ascii="Arial" w:hAnsi="Arial"/>
          <w:sz w:val="22"/>
          <w:szCs w:val="22"/>
        </w:rPr>
        <w:t>are</w:t>
      </w:r>
      <w:r w:rsidR="003E6CC9">
        <w:rPr>
          <w:rFonts w:ascii="Arial" w:hAnsi="Arial"/>
          <w:sz w:val="22"/>
          <w:szCs w:val="22"/>
        </w:rPr>
        <w:t xml:space="preserve"> no generally accepted compilation</w:t>
      </w:r>
      <w:r w:rsidR="00987321">
        <w:rPr>
          <w:rFonts w:ascii="Arial" w:hAnsi="Arial"/>
          <w:sz w:val="22"/>
          <w:szCs w:val="22"/>
        </w:rPr>
        <w:t>s</w:t>
      </w:r>
      <w:r w:rsidR="003E6CC9">
        <w:rPr>
          <w:rFonts w:ascii="Arial" w:hAnsi="Arial"/>
          <w:sz w:val="22"/>
          <w:szCs w:val="22"/>
        </w:rPr>
        <w:t xml:space="preserve"> of</w:t>
      </w:r>
      <w:r>
        <w:rPr>
          <w:rFonts w:ascii="Arial" w:hAnsi="Arial"/>
          <w:sz w:val="22"/>
          <w:szCs w:val="22"/>
        </w:rPr>
        <w:t xml:space="preserve"> TRVs.</w:t>
      </w:r>
      <w:r w:rsidR="003E6CC9">
        <w:rPr>
          <w:rFonts w:ascii="Arial" w:hAnsi="Arial"/>
          <w:sz w:val="22"/>
          <w:szCs w:val="22"/>
        </w:rPr>
        <w:t xml:space="preserve"> </w:t>
      </w:r>
      <w:r w:rsidR="00987321">
        <w:rPr>
          <w:rFonts w:ascii="Arial" w:hAnsi="Arial"/>
          <w:sz w:val="22"/>
          <w:szCs w:val="22"/>
        </w:rPr>
        <w:t xml:space="preserve"> Individual </w:t>
      </w:r>
      <w:r w:rsidR="003E6CC9">
        <w:rPr>
          <w:rFonts w:ascii="Arial" w:hAnsi="Arial"/>
          <w:sz w:val="22"/>
          <w:szCs w:val="22"/>
        </w:rPr>
        <w:t xml:space="preserve">TRVs </w:t>
      </w:r>
      <w:r w:rsidR="00E17153">
        <w:rPr>
          <w:rFonts w:ascii="Arial" w:hAnsi="Arial"/>
          <w:sz w:val="22"/>
          <w:szCs w:val="22"/>
        </w:rPr>
        <w:t xml:space="preserve">must be </w:t>
      </w:r>
      <w:r w:rsidR="00642163">
        <w:rPr>
          <w:rFonts w:ascii="Arial" w:hAnsi="Arial"/>
          <w:sz w:val="22"/>
          <w:szCs w:val="22"/>
        </w:rPr>
        <w:t>obtained from</w:t>
      </w:r>
      <w:r w:rsidR="003E6CC9">
        <w:rPr>
          <w:rFonts w:ascii="Arial" w:hAnsi="Arial"/>
          <w:sz w:val="22"/>
          <w:szCs w:val="22"/>
        </w:rPr>
        <w:t xml:space="preserve"> ecological toxicity references and databases.  </w:t>
      </w:r>
      <w:r>
        <w:rPr>
          <w:rFonts w:ascii="Arial" w:hAnsi="Arial"/>
          <w:sz w:val="22"/>
          <w:szCs w:val="22"/>
        </w:rPr>
        <w:t xml:space="preserve">Several </w:t>
      </w:r>
      <w:r w:rsidR="00642163">
        <w:rPr>
          <w:rFonts w:ascii="Arial" w:hAnsi="Arial"/>
          <w:sz w:val="22"/>
          <w:szCs w:val="22"/>
        </w:rPr>
        <w:t>common</w:t>
      </w:r>
      <w:r w:rsidR="003E6CC9">
        <w:rPr>
          <w:rFonts w:ascii="Arial" w:hAnsi="Arial"/>
          <w:sz w:val="22"/>
          <w:szCs w:val="22"/>
        </w:rPr>
        <w:t xml:space="preserve"> source</w:t>
      </w:r>
      <w:r>
        <w:rPr>
          <w:rFonts w:ascii="Arial" w:hAnsi="Arial"/>
          <w:sz w:val="22"/>
          <w:szCs w:val="22"/>
        </w:rPr>
        <w:t xml:space="preserve">s have been listed below for </w:t>
      </w:r>
      <w:r w:rsidR="00BD22DA">
        <w:rPr>
          <w:rFonts w:ascii="Arial" w:hAnsi="Arial"/>
          <w:sz w:val="22"/>
          <w:szCs w:val="22"/>
        </w:rPr>
        <w:t xml:space="preserve">convenience.  </w:t>
      </w:r>
    </w:p>
    <w:p w14:paraId="16D1A994" w14:textId="77777777" w:rsidR="00E60613" w:rsidRDefault="00E60613" w:rsidP="002B26F4">
      <w:pPr>
        <w:jc w:val="both"/>
        <w:rPr>
          <w:rFonts w:ascii="Arial" w:hAnsi="Arial"/>
          <w:sz w:val="22"/>
          <w:szCs w:val="22"/>
        </w:rPr>
      </w:pPr>
    </w:p>
    <w:p w14:paraId="04634F29" w14:textId="77777777" w:rsidR="00E60613" w:rsidRDefault="00B723ED" w:rsidP="00E60613">
      <w:pPr>
        <w:pStyle w:val="ListParagraph"/>
        <w:numPr>
          <w:ilvl w:val="0"/>
          <w:numId w:val="4"/>
        </w:numPr>
        <w:jc w:val="both"/>
        <w:rPr>
          <w:rFonts w:ascii="Arial" w:hAnsi="Arial"/>
          <w:sz w:val="22"/>
          <w:szCs w:val="22"/>
        </w:rPr>
      </w:pPr>
      <w:hyperlink r:id="rId25" w:history="1">
        <w:r w:rsidR="00E60613" w:rsidRPr="002B0256">
          <w:rPr>
            <w:rStyle w:val="Hyperlink"/>
            <w:rFonts w:ascii="Arial" w:hAnsi="Arial"/>
            <w:sz w:val="22"/>
            <w:szCs w:val="22"/>
          </w:rPr>
          <w:t>US EPA Ecological Soil Screening Levels (2003-2008)</w:t>
        </w:r>
      </w:hyperlink>
      <w:r w:rsidR="00E60613" w:rsidRPr="00820645">
        <w:rPr>
          <w:rFonts w:ascii="Arial" w:hAnsi="Arial"/>
          <w:sz w:val="22"/>
          <w:szCs w:val="22"/>
        </w:rPr>
        <w:t xml:space="preserve"> </w:t>
      </w:r>
    </w:p>
    <w:p w14:paraId="70E09ACE" w14:textId="77777777" w:rsidR="00E60613" w:rsidRDefault="00E60613" w:rsidP="00E60613">
      <w:pPr>
        <w:pStyle w:val="ListParagraph"/>
        <w:jc w:val="both"/>
        <w:rPr>
          <w:rFonts w:ascii="Arial" w:hAnsi="Arial"/>
          <w:sz w:val="22"/>
          <w:szCs w:val="22"/>
        </w:rPr>
      </w:pPr>
    </w:p>
    <w:p w14:paraId="739FB28A" w14:textId="77777777" w:rsidR="00E60613" w:rsidRDefault="00B723ED" w:rsidP="00E60613">
      <w:pPr>
        <w:pStyle w:val="ListParagraph"/>
        <w:numPr>
          <w:ilvl w:val="0"/>
          <w:numId w:val="4"/>
        </w:numPr>
        <w:jc w:val="both"/>
        <w:rPr>
          <w:rFonts w:ascii="Arial" w:hAnsi="Arial"/>
          <w:sz w:val="22"/>
          <w:szCs w:val="22"/>
        </w:rPr>
      </w:pPr>
      <w:hyperlink r:id="rId26" w:history="1">
        <w:r w:rsidR="00E60613" w:rsidRPr="00E60613">
          <w:rPr>
            <w:rStyle w:val="Hyperlink"/>
            <w:rFonts w:ascii="Arial" w:hAnsi="Arial"/>
            <w:sz w:val="22"/>
            <w:szCs w:val="22"/>
          </w:rPr>
          <w:t>US EPA EcoTox Database Release 4.0 (last updated March 2014)</w:t>
        </w:r>
      </w:hyperlink>
    </w:p>
    <w:p w14:paraId="509152F1" w14:textId="77777777" w:rsidR="006E5715" w:rsidRPr="006E5715" w:rsidRDefault="006E5715" w:rsidP="006E5715">
      <w:pPr>
        <w:jc w:val="both"/>
        <w:rPr>
          <w:rFonts w:ascii="Arial" w:hAnsi="Arial"/>
          <w:sz w:val="22"/>
          <w:szCs w:val="22"/>
        </w:rPr>
      </w:pPr>
    </w:p>
    <w:p w14:paraId="7227B64C" w14:textId="77777777" w:rsidR="006E5715" w:rsidRPr="009D49B6" w:rsidRDefault="00B723ED" w:rsidP="009D49B6">
      <w:pPr>
        <w:pStyle w:val="ListParagraph"/>
        <w:numPr>
          <w:ilvl w:val="0"/>
          <w:numId w:val="4"/>
        </w:numPr>
        <w:jc w:val="both"/>
        <w:rPr>
          <w:rFonts w:ascii="Arial" w:hAnsi="Arial"/>
          <w:sz w:val="22"/>
          <w:szCs w:val="22"/>
        </w:rPr>
      </w:pPr>
      <w:hyperlink r:id="rId27" w:history="1">
        <w:r w:rsidR="006E5715" w:rsidRPr="006E5715">
          <w:rPr>
            <w:rStyle w:val="Hyperlink"/>
            <w:rFonts w:ascii="Arial" w:hAnsi="Arial"/>
            <w:sz w:val="22"/>
            <w:szCs w:val="22"/>
          </w:rPr>
          <w:t>US Army Wildlife Toxicity Reference Values (2001-2009)</w:t>
        </w:r>
      </w:hyperlink>
    </w:p>
    <w:p w14:paraId="78897E23" w14:textId="77777777" w:rsidR="00F23F2D" w:rsidRDefault="00F23F2D" w:rsidP="002B26F4">
      <w:pPr>
        <w:jc w:val="both"/>
        <w:rPr>
          <w:rFonts w:ascii="Arial" w:hAnsi="Arial"/>
          <w:sz w:val="22"/>
          <w:szCs w:val="22"/>
        </w:rPr>
      </w:pPr>
    </w:p>
    <w:p w14:paraId="4DB900B8" w14:textId="77777777" w:rsidR="009D49B6" w:rsidRDefault="009D49B6" w:rsidP="002B26F4">
      <w:pPr>
        <w:jc w:val="both"/>
        <w:rPr>
          <w:rFonts w:ascii="Arial" w:hAnsi="Arial"/>
          <w:b/>
          <w:sz w:val="22"/>
          <w:szCs w:val="22"/>
        </w:rPr>
      </w:pPr>
      <w:r>
        <w:rPr>
          <w:rFonts w:ascii="Arial" w:hAnsi="Arial"/>
          <w:b/>
          <w:sz w:val="22"/>
          <w:szCs w:val="22"/>
        </w:rPr>
        <w:t>3. Tier II –</w:t>
      </w:r>
      <w:r w:rsidR="00C10F01">
        <w:rPr>
          <w:rFonts w:ascii="Arial" w:hAnsi="Arial"/>
          <w:b/>
          <w:sz w:val="22"/>
          <w:szCs w:val="22"/>
        </w:rPr>
        <w:t xml:space="preserve"> Baseline Ecological Risk Assessment and S</w:t>
      </w:r>
      <w:r>
        <w:rPr>
          <w:rFonts w:ascii="Arial" w:hAnsi="Arial"/>
          <w:b/>
          <w:sz w:val="22"/>
          <w:szCs w:val="22"/>
        </w:rPr>
        <w:t xml:space="preserve">ite-specific </w:t>
      </w:r>
      <w:r w:rsidR="00C10F01">
        <w:rPr>
          <w:rFonts w:ascii="Arial" w:hAnsi="Arial"/>
          <w:b/>
          <w:sz w:val="22"/>
          <w:szCs w:val="22"/>
        </w:rPr>
        <w:t>Exposure Values</w:t>
      </w:r>
    </w:p>
    <w:p w14:paraId="4D5D845C" w14:textId="77777777" w:rsidR="00C10F01" w:rsidRDefault="00C10F01" w:rsidP="002B26F4">
      <w:pPr>
        <w:jc w:val="both"/>
        <w:rPr>
          <w:rFonts w:ascii="Arial" w:hAnsi="Arial"/>
          <w:b/>
          <w:sz w:val="22"/>
          <w:szCs w:val="22"/>
        </w:rPr>
      </w:pPr>
    </w:p>
    <w:p w14:paraId="17AB9E62" w14:textId="77777777" w:rsidR="00C10F01" w:rsidRDefault="00C10F01" w:rsidP="002B26F4">
      <w:pPr>
        <w:jc w:val="both"/>
        <w:rPr>
          <w:rFonts w:ascii="Arial" w:hAnsi="Arial"/>
          <w:i/>
          <w:sz w:val="22"/>
          <w:szCs w:val="22"/>
        </w:rPr>
      </w:pPr>
      <w:r>
        <w:rPr>
          <w:rFonts w:ascii="Arial" w:hAnsi="Arial"/>
          <w:i/>
          <w:sz w:val="22"/>
          <w:szCs w:val="22"/>
        </w:rPr>
        <w:t>3.1 Site-specific Species of Concern</w:t>
      </w:r>
    </w:p>
    <w:p w14:paraId="2DE7CABA" w14:textId="77777777" w:rsidR="00BF2CCF" w:rsidRDefault="00BF2CCF" w:rsidP="002B26F4">
      <w:pPr>
        <w:jc w:val="both"/>
        <w:rPr>
          <w:rFonts w:ascii="Arial" w:hAnsi="Arial"/>
          <w:i/>
          <w:sz w:val="22"/>
          <w:szCs w:val="22"/>
        </w:rPr>
      </w:pPr>
    </w:p>
    <w:p w14:paraId="30591318" w14:textId="77777777" w:rsidR="00BF2CCF" w:rsidRDefault="00BF2CCF" w:rsidP="002B26F4">
      <w:pPr>
        <w:jc w:val="both"/>
        <w:rPr>
          <w:rFonts w:ascii="Arial" w:hAnsi="Arial"/>
          <w:sz w:val="22"/>
          <w:szCs w:val="22"/>
        </w:rPr>
      </w:pPr>
      <w:r w:rsidRPr="004C53A3">
        <w:rPr>
          <w:rFonts w:ascii="Arial" w:hAnsi="Arial"/>
          <w:sz w:val="22"/>
          <w:szCs w:val="22"/>
          <w:u w:val="single"/>
        </w:rPr>
        <w:t>3.1.1 Florida</w:t>
      </w:r>
      <w:r>
        <w:rPr>
          <w:rFonts w:ascii="Arial" w:hAnsi="Arial"/>
          <w:sz w:val="22"/>
          <w:szCs w:val="22"/>
          <w:u w:val="single"/>
        </w:rPr>
        <w:t>-specific Species</w:t>
      </w:r>
    </w:p>
    <w:p w14:paraId="643E4B2B" w14:textId="77777777" w:rsidR="0010427F" w:rsidRDefault="0010427F" w:rsidP="002B26F4">
      <w:pPr>
        <w:jc w:val="both"/>
        <w:rPr>
          <w:rFonts w:ascii="Arial" w:hAnsi="Arial"/>
          <w:sz w:val="22"/>
          <w:szCs w:val="22"/>
        </w:rPr>
      </w:pPr>
    </w:p>
    <w:p w14:paraId="44D6AD74" w14:textId="77777777" w:rsidR="0010427F" w:rsidRPr="0010427F" w:rsidRDefault="0010427F" w:rsidP="0010427F">
      <w:pPr>
        <w:jc w:val="both"/>
        <w:rPr>
          <w:rFonts w:ascii="Arial" w:hAnsi="Arial"/>
          <w:sz w:val="22"/>
          <w:szCs w:val="22"/>
        </w:rPr>
      </w:pPr>
      <w:r>
        <w:rPr>
          <w:rFonts w:ascii="Arial" w:hAnsi="Arial"/>
          <w:sz w:val="22"/>
          <w:szCs w:val="22"/>
        </w:rPr>
        <w:tab/>
      </w:r>
      <w:r w:rsidRPr="0010427F">
        <w:rPr>
          <w:rFonts w:ascii="Arial" w:hAnsi="Arial"/>
          <w:sz w:val="22"/>
          <w:szCs w:val="22"/>
        </w:rPr>
        <w:t>Florida contains a wide variety of</w:t>
      </w:r>
      <w:r>
        <w:rPr>
          <w:rFonts w:ascii="Arial" w:hAnsi="Arial"/>
          <w:sz w:val="22"/>
          <w:szCs w:val="22"/>
        </w:rPr>
        <w:t xml:space="preserve"> unique and endangered species,</w:t>
      </w:r>
      <w:r w:rsidRPr="0010427F">
        <w:rPr>
          <w:rFonts w:ascii="Arial" w:hAnsi="Arial"/>
          <w:sz w:val="22"/>
          <w:szCs w:val="22"/>
        </w:rPr>
        <w:t xml:space="preserve"> the most notable of which are reptiles and aquatic mammals.  In contrast to other states that do </w:t>
      </w:r>
      <w:r w:rsidRPr="0010427F">
        <w:rPr>
          <w:rFonts w:ascii="Arial" w:hAnsi="Arial"/>
          <w:sz w:val="22"/>
          <w:szCs w:val="22"/>
        </w:rPr>
        <w:lastRenderedPageBreak/>
        <w:t xml:space="preserve">not usually quantify risk for these </w:t>
      </w:r>
      <w:r w:rsidR="00DF4528">
        <w:rPr>
          <w:rFonts w:ascii="Arial" w:hAnsi="Arial"/>
          <w:sz w:val="22"/>
          <w:szCs w:val="22"/>
        </w:rPr>
        <w:t>foraging guilds</w:t>
      </w:r>
      <w:r w:rsidRPr="0010427F">
        <w:rPr>
          <w:rFonts w:ascii="Arial" w:hAnsi="Arial"/>
          <w:sz w:val="22"/>
          <w:szCs w:val="22"/>
        </w:rPr>
        <w:t xml:space="preserve">, Florida encourages their assessment. Representative </w:t>
      </w:r>
      <w:r w:rsidR="005948F6">
        <w:rPr>
          <w:rFonts w:ascii="Arial" w:hAnsi="Arial"/>
          <w:sz w:val="22"/>
          <w:szCs w:val="22"/>
        </w:rPr>
        <w:t xml:space="preserve">Florida </w:t>
      </w:r>
      <w:r w:rsidRPr="0010427F">
        <w:rPr>
          <w:rFonts w:ascii="Arial" w:hAnsi="Arial"/>
          <w:sz w:val="22"/>
          <w:szCs w:val="22"/>
        </w:rPr>
        <w:t>species include those receptors most likely to have a high dose of contaminant per kg of body weight</w:t>
      </w:r>
      <w:r>
        <w:rPr>
          <w:rFonts w:ascii="Arial" w:hAnsi="Arial"/>
          <w:sz w:val="22"/>
          <w:szCs w:val="22"/>
        </w:rPr>
        <w:t>, such as those</w:t>
      </w:r>
      <w:r w:rsidRPr="0010427F">
        <w:rPr>
          <w:rFonts w:ascii="Arial" w:hAnsi="Arial"/>
          <w:sz w:val="22"/>
          <w:szCs w:val="22"/>
        </w:rPr>
        <w:t xml:space="preserve"> with </w:t>
      </w:r>
      <w:r>
        <w:rPr>
          <w:rFonts w:ascii="Arial" w:hAnsi="Arial"/>
          <w:sz w:val="22"/>
          <w:szCs w:val="22"/>
        </w:rPr>
        <w:t xml:space="preserve">a </w:t>
      </w:r>
      <w:r w:rsidRPr="0010427F">
        <w:rPr>
          <w:rFonts w:ascii="Arial" w:hAnsi="Arial"/>
          <w:sz w:val="22"/>
          <w:szCs w:val="22"/>
        </w:rPr>
        <w:t>low body weight and/or small home ranges.</w:t>
      </w:r>
      <w:r>
        <w:rPr>
          <w:rFonts w:ascii="Arial" w:hAnsi="Arial"/>
          <w:sz w:val="22"/>
          <w:szCs w:val="22"/>
        </w:rPr>
        <w:t xml:space="preserve">  </w:t>
      </w:r>
      <w:r w:rsidR="00DF4528">
        <w:rPr>
          <w:rFonts w:ascii="Arial" w:hAnsi="Arial"/>
          <w:sz w:val="22"/>
          <w:szCs w:val="22"/>
        </w:rPr>
        <w:t xml:space="preserve">Because limited toxicity data exist for reptiles, assessment of these animals is usually qualitative.  </w:t>
      </w:r>
      <w:r>
        <w:rPr>
          <w:rFonts w:ascii="Arial" w:hAnsi="Arial"/>
          <w:sz w:val="22"/>
          <w:szCs w:val="22"/>
        </w:rPr>
        <w:t xml:space="preserve">Examples of receptors </w:t>
      </w:r>
      <w:r w:rsidR="00EB6E2E">
        <w:rPr>
          <w:rFonts w:ascii="Arial" w:hAnsi="Arial"/>
          <w:sz w:val="22"/>
          <w:szCs w:val="22"/>
        </w:rPr>
        <w:t xml:space="preserve">of special interest in Florida </w:t>
      </w:r>
      <w:r>
        <w:rPr>
          <w:rFonts w:ascii="Arial" w:hAnsi="Arial"/>
          <w:sz w:val="22"/>
          <w:szCs w:val="22"/>
        </w:rPr>
        <w:t>include:</w:t>
      </w:r>
    </w:p>
    <w:p w14:paraId="7AC90624" w14:textId="77777777" w:rsidR="0010427F" w:rsidRDefault="0010427F" w:rsidP="002B26F4">
      <w:pPr>
        <w:jc w:val="both"/>
        <w:rPr>
          <w:rFonts w:ascii="Arial" w:hAnsi="Arial"/>
          <w:sz w:val="22"/>
          <w:szCs w:val="22"/>
        </w:rPr>
      </w:pPr>
    </w:p>
    <w:p w14:paraId="0CFD8C77" w14:textId="77777777" w:rsidR="000914BA" w:rsidRPr="0010427F" w:rsidRDefault="000914BA" w:rsidP="0010427F">
      <w:pPr>
        <w:pStyle w:val="ListParagraph"/>
        <w:numPr>
          <w:ilvl w:val="0"/>
          <w:numId w:val="13"/>
        </w:numPr>
        <w:jc w:val="both"/>
        <w:rPr>
          <w:rFonts w:ascii="Arial" w:hAnsi="Arial"/>
          <w:sz w:val="22"/>
          <w:szCs w:val="22"/>
        </w:rPr>
      </w:pPr>
      <w:r w:rsidRPr="0010427F">
        <w:rPr>
          <w:rFonts w:ascii="Arial" w:hAnsi="Arial"/>
          <w:sz w:val="22"/>
          <w:szCs w:val="22"/>
        </w:rPr>
        <w:t>Aquatic mammal – Otter</w:t>
      </w:r>
    </w:p>
    <w:p w14:paraId="76026E98" w14:textId="77777777" w:rsidR="000914BA" w:rsidRPr="0010427F" w:rsidRDefault="000914BA" w:rsidP="0010427F">
      <w:pPr>
        <w:pStyle w:val="ListParagraph"/>
        <w:numPr>
          <w:ilvl w:val="0"/>
          <w:numId w:val="13"/>
        </w:numPr>
        <w:jc w:val="both"/>
        <w:rPr>
          <w:rFonts w:ascii="Arial" w:hAnsi="Arial"/>
          <w:sz w:val="22"/>
          <w:szCs w:val="22"/>
        </w:rPr>
      </w:pPr>
      <w:r w:rsidRPr="0010427F">
        <w:rPr>
          <w:rFonts w:ascii="Arial" w:hAnsi="Arial"/>
          <w:sz w:val="22"/>
          <w:szCs w:val="22"/>
        </w:rPr>
        <w:t>Piscivorous birds – Little blue heron, Woodstork</w:t>
      </w:r>
    </w:p>
    <w:p w14:paraId="5659B45B" w14:textId="77777777" w:rsidR="000914BA" w:rsidRPr="0010427F" w:rsidRDefault="000914BA" w:rsidP="0010427F">
      <w:pPr>
        <w:pStyle w:val="ListParagraph"/>
        <w:numPr>
          <w:ilvl w:val="0"/>
          <w:numId w:val="13"/>
        </w:numPr>
        <w:jc w:val="both"/>
        <w:rPr>
          <w:rFonts w:ascii="Arial" w:hAnsi="Arial"/>
          <w:sz w:val="22"/>
          <w:szCs w:val="22"/>
        </w:rPr>
      </w:pPr>
      <w:r w:rsidRPr="0010427F">
        <w:rPr>
          <w:rFonts w:ascii="Arial" w:hAnsi="Arial"/>
          <w:sz w:val="22"/>
          <w:szCs w:val="22"/>
        </w:rPr>
        <w:t>Higher trophic level piscivorous bird –</w:t>
      </w:r>
      <w:r w:rsidR="0010427F">
        <w:rPr>
          <w:rFonts w:ascii="Arial" w:hAnsi="Arial"/>
          <w:sz w:val="22"/>
          <w:szCs w:val="22"/>
        </w:rPr>
        <w:t xml:space="preserve"> </w:t>
      </w:r>
      <w:r w:rsidRPr="0010427F">
        <w:rPr>
          <w:rFonts w:ascii="Arial" w:hAnsi="Arial"/>
          <w:sz w:val="22"/>
          <w:szCs w:val="22"/>
        </w:rPr>
        <w:t>Osprey</w:t>
      </w:r>
    </w:p>
    <w:p w14:paraId="4A68D9B4" w14:textId="77777777" w:rsidR="0010427F" w:rsidRPr="005948F6" w:rsidRDefault="0010427F" w:rsidP="002B26F4">
      <w:pPr>
        <w:pStyle w:val="ListParagraph"/>
        <w:numPr>
          <w:ilvl w:val="0"/>
          <w:numId w:val="13"/>
        </w:numPr>
        <w:jc w:val="both"/>
        <w:rPr>
          <w:rFonts w:ascii="Arial" w:hAnsi="Arial"/>
          <w:sz w:val="22"/>
          <w:szCs w:val="22"/>
        </w:rPr>
      </w:pPr>
      <w:r>
        <w:rPr>
          <w:rFonts w:ascii="Arial" w:hAnsi="Arial"/>
          <w:sz w:val="22"/>
          <w:szCs w:val="22"/>
        </w:rPr>
        <w:t xml:space="preserve">Reptiles – Alligator </w:t>
      </w:r>
    </w:p>
    <w:p w14:paraId="3374B5A5" w14:textId="77777777" w:rsidR="00C10F01" w:rsidRDefault="00C10F01" w:rsidP="002B26F4">
      <w:pPr>
        <w:jc w:val="both"/>
        <w:rPr>
          <w:rFonts w:ascii="Arial" w:hAnsi="Arial"/>
          <w:sz w:val="22"/>
          <w:szCs w:val="22"/>
        </w:rPr>
      </w:pPr>
    </w:p>
    <w:p w14:paraId="1F6939F5" w14:textId="77777777" w:rsidR="00BF2CCF" w:rsidRDefault="00BF2CCF" w:rsidP="002B26F4">
      <w:pPr>
        <w:jc w:val="both"/>
        <w:rPr>
          <w:rFonts w:ascii="Arial" w:hAnsi="Arial"/>
          <w:sz w:val="22"/>
          <w:szCs w:val="22"/>
        </w:rPr>
      </w:pPr>
      <w:r w:rsidRPr="004C53A3">
        <w:rPr>
          <w:rFonts w:ascii="Arial" w:hAnsi="Arial"/>
          <w:sz w:val="22"/>
          <w:szCs w:val="22"/>
          <w:u w:val="single"/>
        </w:rPr>
        <w:t>3.1.2 Threatened</w:t>
      </w:r>
      <w:r>
        <w:rPr>
          <w:rFonts w:ascii="Arial" w:hAnsi="Arial"/>
          <w:sz w:val="22"/>
          <w:szCs w:val="22"/>
          <w:u w:val="single"/>
        </w:rPr>
        <w:t>/Endangered Species</w:t>
      </w:r>
    </w:p>
    <w:p w14:paraId="22E13CA1" w14:textId="77777777" w:rsidR="005948F6" w:rsidRDefault="005948F6" w:rsidP="002B26F4">
      <w:pPr>
        <w:jc w:val="both"/>
        <w:rPr>
          <w:rFonts w:ascii="Arial" w:hAnsi="Arial"/>
          <w:sz w:val="22"/>
          <w:szCs w:val="22"/>
        </w:rPr>
      </w:pPr>
    </w:p>
    <w:p w14:paraId="35DFB10C" w14:textId="77777777" w:rsidR="00B06304" w:rsidRPr="00B06304" w:rsidRDefault="000914BA" w:rsidP="00B06304">
      <w:pPr>
        <w:jc w:val="both"/>
        <w:rPr>
          <w:rFonts w:ascii="Arial" w:hAnsi="Arial"/>
          <w:sz w:val="22"/>
          <w:szCs w:val="22"/>
        </w:rPr>
      </w:pPr>
      <w:r>
        <w:rPr>
          <w:rFonts w:ascii="Arial" w:hAnsi="Arial"/>
          <w:sz w:val="22"/>
          <w:szCs w:val="22"/>
        </w:rPr>
        <w:tab/>
        <w:t>T</w:t>
      </w:r>
      <w:r w:rsidRPr="000914BA">
        <w:rPr>
          <w:rFonts w:ascii="Arial" w:hAnsi="Arial"/>
          <w:sz w:val="22"/>
          <w:szCs w:val="22"/>
        </w:rPr>
        <w:t>he</w:t>
      </w:r>
      <w:r>
        <w:rPr>
          <w:rFonts w:ascii="Arial" w:hAnsi="Arial"/>
          <w:sz w:val="22"/>
          <w:szCs w:val="22"/>
        </w:rPr>
        <w:t xml:space="preserve"> </w:t>
      </w:r>
      <w:r w:rsidR="008F1F37" w:rsidRPr="000914BA">
        <w:rPr>
          <w:rFonts w:ascii="Arial" w:hAnsi="Arial"/>
          <w:sz w:val="22"/>
          <w:szCs w:val="22"/>
        </w:rPr>
        <w:t>Florida Fish and Wildlife Conservation Commission (FWC)</w:t>
      </w:r>
      <w:r w:rsidR="008F1F37">
        <w:rPr>
          <w:rFonts w:ascii="Arial" w:hAnsi="Arial"/>
          <w:sz w:val="22"/>
          <w:szCs w:val="22"/>
        </w:rPr>
        <w:t xml:space="preserve"> maintains the </w:t>
      </w:r>
      <w:r w:rsidRPr="000914BA">
        <w:rPr>
          <w:rFonts w:ascii="Arial" w:hAnsi="Arial"/>
          <w:sz w:val="22"/>
          <w:szCs w:val="22"/>
        </w:rPr>
        <w:t xml:space="preserve">list of </w:t>
      </w:r>
      <w:r w:rsidR="008F1F37">
        <w:rPr>
          <w:rFonts w:ascii="Arial" w:hAnsi="Arial"/>
          <w:sz w:val="22"/>
          <w:szCs w:val="22"/>
        </w:rPr>
        <w:t>animal species</w:t>
      </w:r>
      <w:r w:rsidRPr="000914BA">
        <w:rPr>
          <w:rFonts w:ascii="Arial" w:hAnsi="Arial"/>
          <w:sz w:val="22"/>
          <w:szCs w:val="22"/>
        </w:rPr>
        <w:t xml:space="preserve"> Federally</w:t>
      </w:r>
      <w:r>
        <w:rPr>
          <w:rFonts w:ascii="Arial" w:hAnsi="Arial"/>
          <w:sz w:val="22"/>
          <w:szCs w:val="22"/>
        </w:rPr>
        <w:t xml:space="preserve"> designated as endangered or threatened and State-designated as endangered, threatened, </w:t>
      </w:r>
      <w:r w:rsidR="008F1F37">
        <w:rPr>
          <w:rFonts w:ascii="Arial" w:hAnsi="Arial"/>
          <w:sz w:val="22"/>
          <w:szCs w:val="22"/>
        </w:rPr>
        <w:t xml:space="preserve">or a species of special concern.  </w:t>
      </w:r>
      <w:r w:rsidR="00840314">
        <w:rPr>
          <w:rFonts w:ascii="Arial" w:hAnsi="Arial"/>
          <w:sz w:val="22"/>
          <w:szCs w:val="22"/>
        </w:rPr>
        <w:t xml:space="preserve">The most recent version can be downloaded from </w:t>
      </w:r>
      <w:hyperlink r:id="rId28" w:history="1">
        <w:r w:rsidR="00B06304" w:rsidRPr="00840314">
          <w:rPr>
            <w:rStyle w:val="Hyperlink"/>
            <w:rFonts w:ascii="Arial" w:hAnsi="Arial"/>
            <w:sz w:val="22"/>
            <w:szCs w:val="22"/>
          </w:rPr>
          <w:t>http://myfwc.com/media/1515251/threatened_endangered_species.pdf</w:t>
        </w:r>
      </w:hyperlink>
      <w:r w:rsidR="00B06304">
        <w:rPr>
          <w:rFonts w:ascii="Arial" w:hAnsi="Arial"/>
          <w:sz w:val="22"/>
          <w:szCs w:val="22"/>
        </w:rPr>
        <w:t xml:space="preserve">.  </w:t>
      </w:r>
      <w:r w:rsidR="00840314">
        <w:rPr>
          <w:rFonts w:ascii="Arial" w:hAnsi="Arial"/>
          <w:sz w:val="22"/>
          <w:szCs w:val="22"/>
        </w:rPr>
        <w:t xml:space="preserve">The list </w:t>
      </w:r>
      <w:r w:rsidR="008F1F37">
        <w:rPr>
          <w:rFonts w:ascii="Arial" w:hAnsi="Arial"/>
          <w:sz w:val="22"/>
          <w:szCs w:val="22"/>
        </w:rPr>
        <w:t>of threatened, endangered, or commercially exploited plants is maintained by the Florida Department of Agriculture and Consumer Services (DOACS).</w:t>
      </w:r>
      <w:r w:rsidR="00B06304">
        <w:rPr>
          <w:rFonts w:ascii="Arial" w:hAnsi="Arial"/>
          <w:sz w:val="22"/>
          <w:szCs w:val="22"/>
        </w:rPr>
        <w:t xml:space="preserve">  It can be obtained </w:t>
      </w:r>
      <w:r w:rsidR="00840314">
        <w:rPr>
          <w:rFonts w:ascii="Arial" w:hAnsi="Arial"/>
          <w:sz w:val="22"/>
          <w:szCs w:val="22"/>
        </w:rPr>
        <w:t>from</w:t>
      </w:r>
      <w:r w:rsidR="00B06304">
        <w:rPr>
          <w:rFonts w:ascii="Arial" w:hAnsi="Arial"/>
          <w:sz w:val="22"/>
          <w:szCs w:val="22"/>
        </w:rPr>
        <w:t xml:space="preserve"> </w:t>
      </w:r>
      <w:hyperlink r:id="rId29" w:history="1">
        <w:r w:rsidR="00840314" w:rsidRPr="00840314">
          <w:rPr>
            <w:rStyle w:val="Hyperlink"/>
            <w:rFonts w:ascii="Arial" w:hAnsi="Arial"/>
            <w:sz w:val="22"/>
            <w:szCs w:val="22"/>
          </w:rPr>
          <w:t>http://freshfromflorida.s3.amazonaws.com/fl-endangered-plants.pdf</w:t>
        </w:r>
      </w:hyperlink>
      <w:r w:rsidR="00B06304" w:rsidRPr="00B06304">
        <w:rPr>
          <w:rFonts w:ascii="Arial" w:hAnsi="Arial"/>
          <w:sz w:val="22"/>
          <w:szCs w:val="22"/>
        </w:rPr>
        <w:t xml:space="preserve">. </w:t>
      </w:r>
      <w:r w:rsidR="005E332A">
        <w:rPr>
          <w:rFonts w:ascii="Arial" w:hAnsi="Arial"/>
          <w:sz w:val="22"/>
          <w:szCs w:val="22"/>
        </w:rPr>
        <w:t xml:space="preserve"> </w:t>
      </w:r>
      <w:r w:rsidR="00C066FA">
        <w:rPr>
          <w:rFonts w:ascii="Arial" w:hAnsi="Arial"/>
          <w:sz w:val="22"/>
          <w:szCs w:val="22"/>
        </w:rPr>
        <w:t>Ecological TRVs</w:t>
      </w:r>
      <w:r w:rsidR="00DA348B">
        <w:rPr>
          <w:rFonts w:ascii="Arial" w:hAnsi="Arial"/>
          <w:sz w:val="22"/>
          <w:szCs w:val="22"/>
        </w:rPr>
        <w:t xml:space="preserve"> protect </w:t>
      </w:r>
      <w:r w:rsidR="00C066FA">
        <w:rPr>
          <w:rFonts w:ascii="Arial" w:hAnsi="Arial"/>
          <w:sz w:val="22"/>
          <w:szCs w:val="22"/>
        </w:rPr>
        <w:t>species at the population level.</w:t>
      </w:r>
      <w:r w:rsidR="008F4697">
        <w:rPr>
          <w:rFonts w:ascii="Arial" w:hAnsi="Arial"/>
          <w:sz w:val="22"/>
          <w:szCs w:val="22"/>
        </w:rPr>
        <w:t xml:space="preserve">  For threatened and endangered species, even the loss of one individual can have </w:t>
      </w:r>
      <w:r w:rsidR="00597FD2">
        <w:rPr>
          <w:rFonts w:ascii="Arial" w:hAnsi="Arial"/>
          <w:sz w:val="22"/>
          <w:szCs w:val="22"/>
        </w:rPr>
        <w:t>significant</w:t>
      </w:r>
      <w:r w:rsidR="008F4697">
        <w:rPr>
          <w:rFonts w:ascii="Arial" w:hAnsi="Arial"/>
          <w:sz w:val="22"/>
          <w:szCs w:val="22"/>
        </w:rPr>
        <w:t xml:space="preserve"> effects on the population.  Therefore, each individual is protected.</w:t>
      </w:r>
      <w:r w:rsidR="00C066FA">
        <w:rPr>
          <w:rFonts w:ascii="Arial" w:hAnsi="Arial"/>
          <w:sz w:val="22"/>
          <w:szCs w:val="22"/>
        </w:rPr>
        <w:t xml:space="preserve">  Endpoints used to derive the TRVs (mortality, reproduction, and growth) ensure maintenance of the population, but allow the loss of some individuals.  </w:t>
      </w:r>
      <w:r w:rsidR="00DA348B">
        <w:rPr>
          <w:rFonts w:ascii="Arial" w:hAnsi="Arial"/>
          <w:sz w:val="22"/>
          <w:szCs w:val="22"/>
        </w:rPr>
        <w:t>Additionally,</w:t>
      </w:r>
      <w:r w:rsidR="00C066FA">
        <w:rPr>
          <w:rFonts w:ascii="Arial" w:hAnsi="Arial"/>
          <w:sz w:val="22"/>
          <w:szCs w:val="22"/>
        </w:rPr>
        <w:t xml:space="preserve"> toxicity endpoints protective of the individual (e.g., behavior, physiology, pathology) are not considered.  Therefore, r</w:t>
      </w:r>
      <w:r w:rsidR="00A068C3">
        <w:rPr>
          <w:rFonts w:ascii="Arial" w:hAnsi="Arial"/>
          <w:sz w:val="22"/>
          <w:szCs w:val="22"/>
        </w:rPr>
        <w:t xml:space="preserve">efined or site-specific screening levels may not be protective of threatened or endangered (T&amp;E) species.  </w:t>
      </w:r>
      <w:r w:rsidR="009E2C7A">
        <w:rPr>
          <w:rFonts w:ascii="Arial" w:hAnsi="Arial"/>
          <w:sz w:val="22"/>
          <w:szCs w:val="22"/>
        </w:rPr>
        <w:t xml:space="preserve">If a </w:t>
      </w:r>
      <w:r w:rsidR="00A068C3">
        <w:rPr>
          <w:rFonts w:ascii="Arial" w:hAnsi="Arial"/>
          <w:sz w:val="22"/>
          <w:szCs w:val="22"/>
        </w:rPr>
        <w:t>T&amp;E</w:t>
      </w:r>
      <w:r w:rsidR="009E2C7A">
        <w:rPr>
          <w:rFonts w:ascii="Arial" w:hAnsi="Arial"/>
          <w:sz w:val="22"/>
          <w:szCs w:val="22"/>
        </w:rPr>
        <w:t xml:space="preserve"> species is identified on the site (or near the site) and the site has suitable habitat to support foraging, </w:t>
      </w:r>
      <w:r w:rsidR="00A068C3">
        <w:rPr>
          <w:rFonts w:ascii="Arial" w:hAnsi="Arial"/>
          <w:sz w:val="22"/>
          <w:szCs w:val="22"/>
        </w:rPr>
        <w:t>measures should be taken to protect individual animals.  Several methods have been utilized to ensure the protection of T&amp;E individuals, including: 1) use of the NOAEL as a not-to-exceed value</w:t>
      </w:r>
      <w:r w:rsidR="003B74D2">
        <w:rPr>
          <w:rFonts w:ascii="Arial" w:hAnsi="Arial"/>
          <w:sz w:val="22"/>
          <w:szCs w:val="22"/>
        </w:rPr>
        <w:t xml:space="preserve">, 2) application of an intraspecies adjustment factor (between 3 and 10) to account for </w:t>
      </w:r>
      <w:r w:rsidR="00B33780">
        <w:rPr>
          <w:rFonts w:ascii="Arial" w:hAnsi="Arial"/>
          <w:sz w:val="22"/>
          <w:szCs w:val="22"/>
        </w:rPr>
        <w:t>sensitive</w:t>
      </w:r>
      <w:r w:rsidR="003B74D2">
        <w:rPr>
          <w:rFonts w:ascii="Arial" w:hAnsi="Arial"/>
          <w:sz w:val="22"/>
          <w:szCs w:val="22"/>
        </w:rPr>
        <w:t xml:space="preserve"> individuals</w:t>
      </w:r>
      <w:r w:rsidR="00B33780">
        <w:rPr>
          <w:rFonts w:ascii="Arial" w:hAnsi="Arial"/>
          <w:sz w:val="22"/>
          <w:szCs w:val="22"/>
        </w:rPr>
        <w:t xml:space="preserve"> in the population</w:t>
      </w:r>
      <w:r w:rsidR="003B74D2">
        <w:rPr>
          <w:rFonts w:ascii="Arial" w:hAnsi="Arial"/>
          <w:sz w:val="22"/>
          <w:szCs w:val="22"/>
        </w:rPr>
        <w:t xml:space="preserve">, </w:t>
      </w:r>
      <w:r w:rsidR="00DF4528">
        <w:rPr>
          <w:rFonts w:ascii="Arial" w:hAnsi="Arial"/>
          <w:sz w:val="22"/>
          <w:szCs w:val="22"/>
        </w:rPr>
        <w:t>or</w:t>
      </w:r>
      <w:r w:rsidR="003B74D2">
        <w:rPr>
          <w:rFonts w:ascii="Arial" w:hAnsi="Arial"/>
          <w:sz w:val="22"/>
          <w:szCs w:val="22"/>
        </w:rPr>
        <w:t xml:space="preserve"> 3) development of a TRV based on </w:t>
      </w:r>
      <w:r w:rsidR="00B33780">
        <w:rPr>
          <w:rFonts w:ascii="Arial" w:hAnsi="Arial"/>
          <w:sz w:val="22"/>
          <w:szCs w:val="22"/>
        </w:rPr>
        <w:t xml:space="preserve">all </w:t>
      </w:r>
      <w:r w:rsidR="003B74D2">
        <w:rPr>
          <w:rFonts w:ascii="Arial" w:hAnsi="Arial"/>
          <w:sz w:val="22"/>
          <w:szCs w:val="22"/>
        </w:rPr>
        <w:t>adverse effects</w:t>
      </w:r>
      <w:r w:rsidR="00B33780" w:rsidRPr="00B33780">
        <w:rPr>
          <w:rFonts w:ascii="Arial" w:hAnsi="Arial"/>
          <w:sz w:val="22"/>
          <w:szCs w:val="22"/>
        </w:rPr>
        <w:t xml:space="preserve"> </w:t>
      </w:r>
      <w:r w:rsidR="00B33780">
        <w:rPr>
          <w:rFonts w:ascii="Arial" w:hAnsi="Arial"/>
          <w:sz w:val="22"/>
          <w:szCs w:val="22"/>
        </w:rPr>
        <w:t>(</w:t>
      </w:r>
      <w:r w:rsidR="00DF4528">
        <w:rPr>
          <w:rFonts w:ascii="Arial" w:hAnsi="Arial"/>
          <w:sz w:val="22"/>
          <w:szCs w:val="22"/>
        </w:rPr>
        <w:t>not just mortality, reproduction, and growth</w:t>
      </w:r>
      <w:r w:rsidR="00B33780">
        <w:rPr>
          <w:rFonts w:ascii="Arial" w:hAnsi="Arial"/>
          <w:sz w:val="22"/>
          <w:szCs w:val="22"/>
        </w:rPr>
        <w:t>)</w:t>
      </w:r>
      <w:r w:rsidR="003B74D2">
        <w:rPr>
          <w:rFonts w:ascii="Arial" w:hAnsi="Arial"/>
          <w:sz w:val="22"/>
          <w:szCs w:val="22"/>
        </w:rPr>
        <w:t>.</w:t>
      </w:r>
      <w:r w:rsidR="00A068C3">
        <w:rPr>
          <w:rFonts w:ascii="Arial" w:hAnsi="Arial"/>
          <w:sz w:val="22"/>
          <w:szCs w:val="22"/>
        </w:rPr>
        <w:t xml:space="preserve">  </w:t>
      </w:r>
    </w:p>
    <w:p w14:paraId="6197FAEA" w14:textId="77777777" w:rsidR="00BF2CCF" w:rsidRDefault="00BF2CCF" w:rsidP="002B26F4">
      <w:pPr>
        <w:jc w:val="both"/>
        <w:rPr>
          <w:rFonts w:ascii="Arial" w:hAnsi="Arial"/>
          <w:sz w:val="22"/>
          <w:szCs w:val="22"/>
        </w:rPr>
      </w:pPr>
    </w:p>
    <w:p w14:paraId="1E81CFE2" w14:textId="77777777" w:rsidR="00C10F01" w:rsidRDefault="00C10F01" w:rsidP="002B26F4">
      <w:pPr>
        <w:jc w:val="both"/>
        <w:rPr>
          <w:rFonts w:ascii="Arial" w:hAnsi="Arial"/>
          <w:i/>
          <w:sz w:val="22"/>
          <w:szCs w:val="22"/>
        </w:rPr>
      </w:pPr>
      <w:r>
        <w:rPr>
          <w:rFonts w:ascii="Arial" w:hAnsi="Arial"/>
          <w:i/>
          <w:sz w:val="22"/>
          <w:szCs w:val="22"/>
        </w:rPr>
        <w:t>3.2 Background Concentrations</w:t>
      </w:r>
    </w:p>
    <w:p w14:paraId="7510C1A7" w14:textId="77777777" w:rsidR="005E332A" w:rsidRDefault="005E332A" w:rsidP="002B26F4">
      <w:pPr>
        <w:jc w:val="both"/>
        <w:rPr>
          <w:rFonts w:ascii="Arial" w:hAnsi="Arial"/>
          <w:i/>
          <w:sz w:val="22"/>
          <w:szCs w:val="22"/>
        </w:rPr>
      </w:pPr>
    </w:p>
    <w:p w14:paraId="1EE2187C" w14:textId="77777777" w:rsidR="005E332A" w:rsidRDefault="000234C2" w:rsidP="002B26F4">
      <w:pPr>
        <w:jc w:val="both"/>
        <w:rPr>
          <w:rFonts w:ascii="Arial" w:hAnsi="Arial"/>
          <w:sz w:val="22"/>
          <w:szCs w:val="22"/>
        </w:rPr>
      </w:pPr>
      <w:r>
        <w:rPr>
          <w:rFonts w:ascii="Arial" w:hAnsi="Arial"/>
          <w:sz w:val="22"/>
          <w:szCs w:val="22"/>
        </w:rPr>
        <w:tab/>
        <w:t xml:space="preserve">Background concentrations </w:t>
      </w:r>
      <w:r w:rsidR="00345170">
        <w:rPr>
          <w:rFonts w:ascii="Arial" w:hAnsi="Arial"/>
          <w:sz w:val="22"/>
          <w:szCs w:val="22"/>
        </w:rPr>
        <w:t xml:space="preserve">are </w:t>
      </w:r>
      <w:r>
        <w:rPr>
          <w:rFonts w:ascii="Arial" w:hAnsi="Arial"/>
          <w:sz w:val="22"/>
          <w:szCs w:val="22"/>
        </w:rPr>
        <w:t>defined as “concentrations of chemicals that are not site-related or attributable to releases from the site” (US ACE, 2011).  Background concentrations may be natural or anthropogenic, but do not include concentrations resulting from a</w:t>
      </w:r>
      <w:r w:rsidR="00E37D62">
        <w:rPr>
          <w:rFonts w:ascii="Arial" w:hAnsi="Arial"/>
          <w:sz w:val="22"/>
          <w:szCs w:val="22"/>
        </w:rPr>
        <w:t xml:space="preserve"> secondary</w:t>
      </w:r>
      <w:r>
        <w:rPr>
          <w:rFonts w:ascii="Arial" w:hAnsi="Arial"/>
          <w:sz w:val="22"/>
          <w:szCs w:val="22"/>
        </w:rPr>
        <w:t xml:space="preserve"> point source</w:t>
      </w:r>
      <w:r w:rsidR="00345170">
        <w:rPr>
          <w:rFonts w:ascii="Arial" w:hAnsi="Arial"/>
          <w:sz w:val="22"/>
          <w:szCs w:val="22"/>
        </w:rPr>
        <w:t>s</w:t>
      </w:r>
      <w:r>
        <w:rPr>
          <w:rFonts w:ascii="Arial" w:hAnsi="Arial"/>
          <w:sz w:val="22"/>
          <w:szCs w:val="22"/>
        </w:rPr>
        <w:t xml:space="preserve">.  </w:t>
      </w:r>
      <w:r w:rsidR="007D0926">
        <w:rPr>
          <w:rFonts w:ascii="Arial" w:hAnsi="Arial"/>
          <w:sz w:val="22"/>
          <w:szCs w:val="22"/>
        </w:rPr>
        <w:t>Florida-specific guidance</w:t>
      </w:r>
      <w:r w:rsidR="00345170">
        <w:rPr>
          <w:rFonts w:ascii="Arial" w:hAnsi="Arial"/>
          <w:sz w:val="22"/>
          <w:szCs w:val="22"/>
        </w:rPr>
        <w:t>s</w:t>
      </w:r>
      <w:r w:rsidR="007D0926">
        <w:rPr>
          <w:rFonts w:ascii="Arial" w:hAnsi="Arial"/>
          <w:sz w:val="22"/>
          <w:szCs w:val="22"/>
        </w:rPr>
        <w:t xml:space="preserve"> for c</w:t>
      </w:r>
      <w:r w:rsidR="00F70A6A">
        <w:rPr>
          <w:rFonts w:ascii="Arial" w:hAnsi="Arial"/>
          <w:sz w:val="22"/>
          <w:szCs w:val="22"/>
        </w:rPr>
        <w:t>omparison of site concentrations to background</w:t>
      </w:r>
      <w:r w:rsidR="003A589F">
        <w:rPr>
          <w:rFonts w:ascii="Arial" w:hAnsi="Arial"/>
          <w:sz w:val="22"/>
          <w:szCs w:val="22"/>
        </w:rPr>
        <w:t xml:space="preserve"> are </w:t>
      </w:r>
      <w:r w:rsidR="006208EF">
        <w:rPr>
          <w:rFonts w:ascii="Arial" w:hAnsi="Arial"/>
          <w:sz w:val="22"/>
          <w:szCs w:val="22"/>
        </w:rPr>
        <w:t>available for soil and groundwater</w:t>
      </w:r>
      <w:r w:rsidR="003A589F">
        <w:rPr>
          <w:rFonts w:ascii="Arial" w:hAnsi="Arial"/>
          <w:sz w:val="22"/>
          <w:szCs w:val="22"/>
        </w:rPr>
        <w:t>.</w:t>
      </w:r>
    </w:p>
    <w:p w14:paraId="62D2076A" w14:textId="77777777" w:rsidR="003A589F" w:rsidRDefault="003A589F" w:rsidP="002B26F4">
      <w:pPr>
        <w:jc w:val="both"/>
        <w:rPr>
          <w:rFonts w:ascii="Arial" w:hAnsi="Arial"/>
          <w:sz w:val="22"/>
          <w:szCs w:val="22"/>
        </w:rPr>
      </w:pPr>
    </w:p>
    <w:p w14:paraId="2E735A74" w14:textId="77777777" w:rsidR="003A589F" w:rsidRDefault="00B723ED" w:rsidP="006208EF">
      <w:pPr>
        <w:pStyle w:val="ListParagraph"/>
        <w:widowControl w:val="0"/>
        <w:numPr>
          <w:ilvl w:val="0"/>
          <w:numId w:val="15"/>
        </w:numPr>
        <w:autoSpaceDE w:val="0"/>
        <w:autoSpaceDN w:val="0"/>
        <w:adjustRightInd w:val="0"/>
        <w:rPr>
          <w:rFonts w:ascii="Arial" w:hAnsi="Arial"/>
          <w:sz w:val="22"/>
          <w:szCs w:val="22"/>
        </w:rPr>
      </w:pPr>
      <w:hyperlink r:id="rId30" w:history="1">
        <w:r w:rsidR="006208EF" w:rsidRPr="006208EF">
          <w:rPr>
            <w:rStyle w:val="Hyperlink"/>
            <w:rFonts w:ascii="Arial" w:hAnsi="Arial"/>
            <w:sz w:val="22"/>
            <w:szCs w:val="22"/>
          </w:rPr>
          <w:t>Guidance for Comparing Background and Site Chemical Concentrations in Soil (2012)</w:t>
        </w:r>
      </w:hyperlink>
    </w:p>
    <w:p w14:paraId="1A61F207" w14:textId="77777777" w:rsidR="006208EF" w:rsidRDefault="006208EF" w:rsidP="006208EF">
      <w:pPr>
        <w:pStyle w:val="ListParagraph"/>
        <w:widowControl w:val="0"/>
        <w:autoSpaceDE w:val="0"/>
        <w:autoSpaceDN w:val="0"/>
        <w:adjustRightInd w:val="0"/>
        <w:rPr>
          <w:rFonts w:ascii="Arial" w:hAnsi="Arial"/>
          <w:sz w:val="22"/>
          <w:szCs w:val="22"/>
        </w:rPr>
      </w:pPr>
    </w:p>
    <w:p w14:paraId="3A8EC0DF" w14:textId="77777777" w:rsidR="006208EF" w:rsidRPr="006208EF" w:rsidRDefault="00B723ED" w:rsidP="006208EF">
      <w:pPr>
        <w:pStyle w:val="ListParagraph"/>
        <w:widowControl w:val="0"/>
        <w:numPr>
          <w:ilvl w:val="0"/>
          <w:numId w:val="15"/>
        </w:numPr>
        <w:autoSpaceDE w:val="0"/>
        <w:autoSpaceDN w:val="0"/>
        <w:adjustRightInd w:val="0"/>
        <w:rPr>
          <w:rFonts w:ascii="Arial" w:hAnsi="Arial"/>
          <w:sz w:val="22"/>
          <w:szCs w:val="22"/>
        </w:rPr>
      </w:pPr>
      <w:hyperlink r:id="rId31" w:history="1">
        <w:r w:rsidR="006208EF" w:rsidRPr="006208EF">
          <w:rPr>
            <w:rStyle w:val="Hyperlink"/>
            <w:rFonts w:ascii="Arial" w:hAnsi="Arial"/>
            <w:sz w:val="22"/>
            <w:szCs w:val="22"/>
          </w:rPr>
          <w:t>Guidance for Comparing Background and Site Chemical Concentrations in Groundwater (2013)</w:t>
        </w:r>
      </w:hyperlink>
    </w:p>
    <w:p w14:paraId="118A0C0C" w14:textId="77777777" w:rsidR="00C10F01" w:rsidRDefault="00C10F01" w:rsidP="002B26F4">
      <w:pPr>
        <w:jc w:val="both"/>
        <w:rPr>
          <w:rFonts w:ascii="Arial" w:hAnsi="Arial"/>
          <w:i/>
          <w:sz w:val="22"/>
          <w:szCs w:val="22"/>
        </w:rPr>
      </w:pPr>
    </w:p>
    <w:p w14:paraId="77FCE473" w14:textId="77777777" w:rsidR="00C10F01" w:rsidRDefault="00C10F01" w:rsidP="002B26F4">
      <w:pPr>
        <w:jc w:val="both"/>
        <w:rPr>
          <w:rFonts w:ascii="Arial" w:hAnsi="Arial"/>
          <w:i/>
          <w:sz w:val="22"/>
          <w:szCs w:val="22"/>
        </w:rPr>
      </w:pPr>
      <w:r>
        <w:rPr>
          <w:rFonts w:ascii="Arial" w:hAnsi="Arial"/>
          <w:i/>
          <w:sz w:val="22"/>
          <w:szCs w:val="22"/>
        </w:rPr>
        <w:t>3.3 Area Use Factor</w:t>
      </w:r>
    </w:p>
    <w:p w14:paraId="3BD5038B" w14:textId="77777777" w:rsidR="006208EF" w:rsidRDefault="006208EF" w:rsidP="002B26F4">
      <w:pPr>
        <w:jc w:val="both"/>
        <w:rPr>
          <w:rFonts w:ascii="Arial" w:hAnsi="Arial"/>
          <w:i/>
          <w:sz w:val="22"/>
          <w:szCs w:val="22"/>
        </w:rPr>
      </w:pPr>
    </w:p>
    <w:p w14:paraId="75F5B765" w14:textId="77777777" w:rsidR="00E5685C" w:rsidRDefault="00C70C6A" w:rsidP="00C9310E">
      <w:pPr>
        <w:ind w:firstLine="720"/>
        <w:jc w:val="both"/>
        <w:rPr>
          <w:rFonts w:ascii="Arial" w:hAnsi="Arial"/>
          <w:sz w:val="22"/>
          <w:szCs w:val="22"/>
        </w:rPr>
      </w:pPr>
      <w:r>
        <w:rPr>
          <w:rFonts w:ascii="Arial" w:hAnsi="Arial"/>
          <w:sz w:val="22"/>
          <w:szCs w:val="22"/>
        </w:rPr>
        <w:t>The area use factor is d</w:t>
      </w:r>
      <w:r w:rsidR="00546D95" w:rsidRPr="00C70C6A">
        <w:rPr>
          <w:rFonts w:ascii="Arial" w:hAnsi="Arial"/>
          <w:sz w:val="22"/>
          <w:szCs w:val="22"/>
        </w:rPr>
        <w:t xml:space="preserve">efined as the ratio </w:t>
      </w:r>
      <w:r w:rsidR="00E5685C">
        <w:rPr>
          <w:rFonts w:ascii="Arial" w:hAnsi="Arial"/>
          <w:sz w:val="22"/>
          <w:szCs w:val="22"/>
        </w:rPr>
        <w:t>of</w:t>
      </w:r>
      <w:r w:rsidR="00546D95" w:rsidRPr="00C70C6A">
        <w:rPr>
          <w:rFonts w:ascii="Arial" w:hAnsi="Arial"/>
          <w:sz w:val="22"/>
          <w:szCs w:val="22"/>
        </w:rPr>
        <w:t xml:space="preserve"> the contaminated area </w:t>
      </w:r>
      <w:r w:rsidR="00E5685C">
        <w:rPr>
          <w:rFonts w:ascii="Arial" w:hAnsi="Arial"/>
          <w:sz w:val="22"/>
          <w:szCs w:val="22"/>
        </w:rPr>
        <w:t>to</w:t>
      </w:r>
      <w:r w:rsidR="00546D95" w:rsidRPr="00C70C6A">
        <w:rPr>
          <w:rFonts w:ascii="Arial" w:hAnsi="Arial"/>
          <w:sz w:val="22"/>
          <w:szCs w:val="22"/>
        </w:rPr>
        <w:t xml:space="preserve"> the receptor’s home range.  It is the probability that a receptor will be exposed to contamination throughout its home range.</w:t>
      </w:r>
      <w:r>
        <w:rPr>
          <w:rFonts w:ascii="Arial" w:hAnsi="Arial"/>
          <w:sz w:val="22"/>
          <w:szCs w:val="22"/>
        </w:rPr>
        <w:t xml:space="preserve"> </w:t>
      </w:r>
      <w:r w:rsidR="00546D95">
        <w:rPr>
          <w:rFonts w:ascii="Arial" w:hAnsi="Arial"/>
          <w:sz w:val="22"/>
          <w:szCs w:val="22"/>
        </w:rPr>
        <w:t xml:space="preserve"> </w:t>
      </w:r>
      <w:r w:rsidR="00502BF2">
        <w:rPr>
          <w:rFonts w:ascii="Arial" w:hAnsi="Arial"/>
          <w:sz w:val="22"/>
          <w:szCs w:val="22"/>
        </w:rPr>
        <w:t xml:space="preserve">Reduction of the area use factor below 1 requires </w:t>
      </w:r>
      <w:r w:rsidR="00D548A6">
        <w:rPr>
          <w:rFonts w:ascii="Arial" w:hAnsi="Arial"/>
          <w:sz w:val="22"/>
          <w:szCs w:val="22"/>
        </w:rPr>
        <w:t>careful consideration</w:t>
      </w:r>
      <w:r w:rsidR="00155E13">
        <w:rPr>
          <w:rFonts w:ascii="Arial" w:hAnsi="Arial"/>
          <w:sz w:val="22"/>
          <w:szCs w:val="22"/>
        </w:rPr>
        <w:t>.</w:t>
      </w:r>
      <w:r w:rsidR="003C59D8">
        <w:rPr>
          <w:rFonts w:ascii="Arial" w:hAnsi="Arial"/>
          <w:sz w:val="22"/>
          <w:szCs w:val="22"/>
        </w:rPr>
        <w:t xml:space="preserve">  There may not be a direct relationship between the size of the site and the receptor’s home range due to limited foraging habitat both on and off-site.  It is also important to consider adjacent impacted properties in the calculation</w:t>
      </w:r>
      <w:r w:rsidR="0036535F">
        <w:rPr>
          <w:rFonts w:ascii="Arial" w:hAnsi="Arial"/>
          <w:sz w:val="22"/>
          <w:szCs w:val="22"/>
        </w:rPr>
        <w:t xml:space="preserve"> since foraging in contaminated areas will not stop at </w:t>
      </w:r>
      <w:r w:rsidR="00345170">
        <w:rPr>
          <w:rFonts w:ascii="Arial" w:hAnsi="Arial"/>
          <w:sz w:val="22"/>
          <w:szCs w:val="22"/>
        </w:rPr>
        <w:t>site</w:t>
      </w:r>
      <w:r w:rsidR="0036535F">
        <w:rPr>
          <w:rFonts w:ascii="Arial" w:hAnsi="Arial"/>
          <w:sz w:val="22"/>
          <w:szCs w:val="22"/>
        </w:rPr>
        <w:t xml:space="preserve"> boundaries</w:t>
      </w:r>
      <w:r w:rsidR="003C59D8">
        <w:rPr>
          <w:rFonts w:ascii="Arial" w:hAnsi="Arial"/>
          <w:sz w:val="22"/>
          <w:szCs w:val="22"/>
        </w:rPr>
        <w:t>.</w:t>
      </w:r>
    </w:p>
    <w:p w14:paraId="6E899DF7" w14:textId="77777777" w:rsidR="00E5685C" w:rsidRDefault="00E5685C" w:rsidP="00C70C6A">
      <w:pPr>
        <w:jc w:val="both"/>
        <w:rPr>
          <w:rFonts w:ascii="Arial" w:hAnsi="Arial"/>
          <w:sz w:val="22"/>
          <w:szCs w:val="22"/>
        </w:rPr>
      </w:pPr>
    </w:p>
    <w:p w14:paraId="307E0BBC" w14:textId="77777777" w:rsidR="006208EF" w:rsidRPr="006208EF" w:rsidRDefault="00546D95" w:rsidP="00134C36">
      <w:pPr>
        <w:ind w:firstLine="720"/>
        <w:jc w:val="both"/>
        <w:rPr>
          <w:rFonts w:ascii="Arial" w:hAnsi="Arial"/>
          <w:sz w:val="22"/>
          <w:szCs w:val="22"/>
        </w:rPr>
      </w:pPr>
      <w:r w:rsidRPr="00C70C6A">
        <w:rPr>
          <w:rFonts w:ascii="Arial" w:hAnsi="Arial"/>
          <w:sz w:val="22"/>
          <w:szCs w:val="22"/>
        </w:rPr>
        <w:t xml:space="preserve">Home range varies </w:t>
      </w:r>
      <w:r w:rsidR="00C9310E">
        <w:rPr>
          <w:rFonts w:ascii="Arial" w:hAnsi="Arial"/>
          <w:sz w:val="22"/>
          <w:szCs w:val="22"/>
        </w:rPr>
        <w:t>by season and for nesting</w:t>
      </w:r>
      <w:r w:rsidR="00A345F9">
        <w:rPr>
          <w:rFonts w:ascii="Arial" w:hAnsi="Arial"/>
          <w:sz w:val="22"/>
          <w:szCs w:val="22"/>
        </w:rPr>
        <w:t xml:space="preserve">.  </w:t>
      </w:r>
      <w:r w:rsidR="003008BC" w:rsidRPr="00C70C6A">
        <w:rPr>
          <w:rFonts w:ascii="Arial" w:hAnsi="Arial"/>
          <w:sz w:val="22"/>
          <w:szCs w:val="22"/>
        </w:rPr>
        <w:t xml:space="preserve">Use of </w:t>
      </w:r>
      <w:r w:rsidR="003008BC">
        <w:rPr>
          <w:rFonts w:ascii="Arial" w:hAnsi="Arial"/>
          <w:sz w:val="22"/>
          <w:szCs w:val="22"/>
        </w:rPr>
        <w:t xml:space="preserve">the smaller home ranges (e.g., </w:t>
      </w:r>
      <w:r w:rsidR="003008BC" w:rsidRPr="00C70C6A">
        <w:rPr>
          <w:rFonts w:ascii="Arial" w:hAnsi="Arial"/>
          <w:sz w:val="22"/>
          <w:szCs w:val="22"/>
        </w:rPr>
        <w:t>nesting and fledgling</w:t>
      </w:r>
      <w:r w:rsidR="003008BC">
        <w:rPr>
          <w:rFonts w:ascii="Arial" w:hAnsi="Arial"/>
          <w:sz w:val="22"/>
          <w:szCs w:val="22"/>
        </w:rPr>
        <w:t>)</w:t>
      </w:r>
      <w:r w:rsidR="003008BC" w:rsidRPr="00C70C6A">
        <w:rPr>
          <w:rFonts w:ascii="Arial" w:hAnsi="Arial"/>
          <w:sz w:val="22"/>
          <w:szCs w:val="22"/>
        </w:rPr>
        <w:t xml:space="preserve"> is necessary to protect the population.  </w:t>
      </w:r>
      <w:r w:rsidR="00127518">
        <w:rPr>
          <w:rFonts w:ascii="Arial" w:hAnsi="Arial"/>
          <w:sz w:val="22"/>
          <w:szCs w:val="22"/>
        </w:rPr>
        <w:t>Loss of even one</w:t>
      </w:r>
      <w:r w:rsidR="003008BC" w:rsidRPr="00C70C6A">
        <w:rPr>
          <w:rFonts w:ascii="Arial" w:hAnsi="Arial"/>
          <w:sz w:val="22"/>
          <w:szCs w:val="22"/>
        </w:rPr>
        <w:t xml:space="preserve"> age cohort is likely to have long-term population level effects.</w:t>
      </w:r>
      <w:r w:rsidR="003008BC">
        <w:rPr>
          <w:rFonts w:ascii="Arial" w:hAnsi="Arial"/>
          <w:sz w:val="22"/>
          <w:szCs w:val="22"/>
        </w:rPr>
        <w:t xml:space="preserve">  </w:t>
      </w:r>
      <w:r w:rsidR="00A345F9">
        <w:rPr>
          <w:rFonts w:ascii="Arial" w:hAnsi="Arial"/>
          <w:sz w:val="22"/>
          <w:szCs w:val="22"/>
        </w:rPr>
        <w:t>T</w:t>
      </w:r>
      <w:r w:rsidR="003008BC">
        <w:rPr>
          <w:rFonts w:ascii="Arial" w:hAnsi="Arial"/>
          <w:sz w:val="22"/>
          <w:szCs w:val="22"/>
        </w:rPr>
        <w:t>herefore, t</w:t>
      </w:r>
      <w:r w:rsidR="00A345F9">
        <w:rPr>
          <w:rFonts w:ascii="Arial" w:hAnsi="Arial"/>
          <w:sz w:val="22"/>
          <w:szCs w:val="22"/>
        </w:rPr>
        <w:t>he s</w:t>
      </w:r>
      <w:r w:rsidR="00C70C6A" w:rsidRPr="00C70C6A">
        <w:rPr>
          <w:rFonts w:ascii="Arial" w:hAnsi="Arial"/>
          <w:sz w:val="22"/>
          <w:szCs w:val="22"/>
        </w:rPr>
        <w:t>mallest home range is applicable for population-level protection.</w:t>
      </w:r>
      <w:r w:rsidR="00C70C6A">
        <w:rPr>
          <w:rFonts w:ascii="Arial" w:hAnsi="Arial"/>
          <w:sz w:val="22"/>
          <w:szCs w:val="22"/>
        </w:rPr>
        <w:t xml:space="preserve">  </w:t>
      </w:r>
    </w:p>
    <w:p w14:paraId="6E9500A3" w14:textId="77777777" w:rsidR="00C10F01" w:rsidRDefault="00C10F01" w:rsidP="002B26F4">
      <w:pPr>
        <w:jc w:val="both"/>
        <w:rPr>
          <w:rFonts w:ascii="Arial" w:hAnsi="Arial"/>
          <w:i/>
          <w:sz w:val="22"/>
          <w:szCs w:val="22"/>
        </w:rPr>
      </w:pPr>
    </w:p>
    <w:p w14:paraId="65466925" w14:textId="77777777" w:rsidR="00C10F01" w:rsidRDefault="00C10F01" w:rsidP="002B26F4">
      <w:pPr>
        <w:jc w:val="both"/>
        <w:rPr>
          <w:rFonts w:ascii="Arial" w:hAnsi="Arial"/>
          <w:i/>
          <w:sz w:val="22"/>
          <w:szCs w:val="22"/>
        </w:rPr>
      </w:pPr>
      <w:r w:rsidRPr="00467C3F">
        <w:rPr>
          <w:rFonts w:ascii="Arial" w:hAnsi="Arial"/>
          <w:i/>
          <w:sz w:val="22"/>
          <w:szCs w:val="22"/>
        </w:rPr>
        <w:t>3.4 Bioavailability</w:t>
      </w:r>
    </w:p>
    <w:p w14:paraId="593C9B10" w14:textId="77777777" w:rsidR="00134C36" w:rsidRDefault="00134C36" w:rsidP="002B26F4">
      <w:pPr>
        <w:jc w:val="both"/>
        <w:rPr>
          <w:rFonts w:ascii="Arial" w:hAnsi="Arial"/>
          <w:i/>
          <w:sz w:val="22"/>
          <w:szCs w:val="22"/>
        </w:rPr>
      </w:pPr>
    </w:p>
    <w:p w14:paraId="0515A0DD" w14:textId="77777777" w:rsidR="00134C36" w:rsidRDefault="00B55244" w:rsidP="002B26F4">
      <w:pPr>
        <w:jc w:val="both"/>
        <w:rPr>
          <w:rFonts w:ascii="Arial" w:hAnsi="Arial"/>
          <w:sz w:val="22"/>
          <w:szCs w:val="22"/>
        </w:rPr>
      </w:pPr>
      <w:r>
        <w:rPr>
          <w:rFonts w:ascii="Arial" w:hAnsi="Arial"/>
          <w:sz w:val="22"/>
          <w:szCs w:val="22"/>
        </w:rPr>
        <w:tab/>
      </w:r>
      <w:r w:rsidR="009E7550">
        <w:rPr>
          <w:rFonts w:ascii="Arial" w:hAnsi="Arial"/>
          <w:sz w:val="22"/>
          <w:szCs w:val="22"/>
        </w:rPr>
        <w:t>B</w:t>
      </w:r>
      <w:r>
        <w:rPr>
          <w:rFonts w:ascii="Arial" w:hAnsi="Arial"/>
          <w:sz w:val="22"/>
          <w:szCs w:val="22"/>
        </w:rPr>
        <w:t xml:space="preserve">ioavailability is </w:t>
      </w:r>
      <w:r w:rsidR="009F1CFC">
        <w:rPr>
          <w:rFonts w:ascii="Arial" w:hAnsi="Arial"/>
          <w:sz w:val="22"/>
          <w:szCs w:val="22"/>
        </w:rPr>
        <w:t>the ratio of the amount of chemical absorbed by a receptor to the concentration in the environmental media of concern</w:t>
      </w:r>
      <w:r w:rsidR="003658CF">
        <w:rPr>
          <w:rFonts w:ascii="Arial" w:hAnsi="Arial"/>
          <w:sz w:val="22"/>
          <w:szCs w:val="22"/>
        </w:rPr>
        <w:t>.</w:t>
      </w:r>
      <w:r w:rsidR="00A90E46">
        <w:rPr>
          <w:rFonts w:ascii="Arial" w:hAnsi="Arial"/>
          <w:sz w:val="22"/>
          <w:szCs w:val="22"/>
        </w:rPr>
        <w:t xml:space="preserve">  </w:t>
      </w:r>
      <w:r w:rsidR="009510F6">
        <w:rPr>
          <w:rFonts w:ascii="Arial" w:hAnsi="Arial"/>
          <w:sz w:val="22"/>
          <w:szCs w:val="22"/>
        </w:rPr>
        <w:t>Relative bioavailability is the ratio of the amount of chemical absorbed by a</w:t>
      </w:r>
      <w:r w:rsidR="009510F6" w:rsidRPr="009510F6">
        <w:rPr>
          <w:rFonts w:ascii="Arial" w:hAnsi="Arial"/>
          <w:sz w:val="22"/>
          <w:szCs w:val="22"/>
        </w:rPr>
        <w:t xml:space="preserve"> </w:t>
      </w:r>
      <w:r w:rsidR="009510F6">
        <w:rPr>
          <w:rFonts w:ascii="Arial" w:hAnsi="Arial"/>
          <w:sz w:val="22"/>
          <w:szCs w:val="22"/>
        </w:rPr>
        <w:t xml:space="preserve">test animal from the administered dose to the absorption from the environmental media of concern.  </w:t>
      </w:r>
      <w:r w:rsidR="00A90E46">
        <w:rPr>
          <w:rFonts w:ascii="Arial" w:hAnsi="Arial"/>
          <w:sz w:val="22"/>
          <w:szCs w:val="22"/>
        </w:rPr>
        <w:t xml:space="preserve">Adjustments in bioavailability are not simple and require site-specific </w:t>
      </w:r>
      <w:r w:rsidR="00B17D20">
        <w:rPr>
          <w:rFonts w:ascii="Arial" w:hAnsi="Arial"/>
          <w:sz w:val="22"/>
          <w:szCs w:val="22"/>
        </w:rPr>
        <w:t>testing</w:t>
      </w:r>
      <w:r w:rsidR="00A90E46">
        <w:rPr>
          <w:rFonts w:ascii="Arial" w:hAnsi="Arial"/>
          <w:sz w:val="22"/>
          <w:szCs w:val="22"/>
        </w:rPr>
        <w:t>.</w:t>
      </w:r>
      <w:r w:rsidR="00597F72">
        <w:rPr>
          <w:rFonts w:ascii="Arial" w:hAnsi="Arial"/>
          <w:sz w:val="22"/>
          <w:szCs w:val="22"/>
        </w:rPr>
        <w:t xml:space="preserve"> </w:t>
      </w:r>
      <w:r w:rsidR="00B17D20">
        <w:rPr>
          <w:rFonts w:ascii="Arial" w:hAnsi="Arial"/>
          <w:sz w:val="22"/>
          <w:szCs w:val="22"/>
        </w:rPr>
        <w:t xml:space="preserve">Several commonly used methodologies for adjusting bioavailability are discussed below.  </w:t>
      </w:r>
      <w:r w:rsidR="00597F72">
        <w:rPr>
          <w:rFonts w:ascii="Arial" w:hAnsi="Arial"/>
          <w:sz w:val="22"/>
          <w:szCs w:val="22"/>
        </w:rPr>
        <w:t xml:space="preserve">Bioavailability </w:t>
      </w:r>
      <w:r w:rsidR="00B17D20">
        <w:rPr>
          <w:rFonts w:ascii="Arial" w:hAnsi="Arial"/>
          <w:sz w:val="22"/>
          <w:szCs w:val="22"/>
        </w:rPr>
        <w:t>can also be</w:t>
      </w:r>
      <w:r w:rsidR="00597F72">
        <w:rPr>
          <w:rFonts w:ascii="Arial" w:hAnsi="Arial"/>
          <w:sz w:val="22"/>
          <w:szCs w:val="22"/>
        </w:rPr>
        <w:t xml:space="preserve"> </w:t>
      </w:r>
      <w:r w:rsidR="0033560D">
        <w:rPr>
          <w:rFonts w:ascii="Arial" w:hAnsi="Arial"/>
          <w:sz w:val="22"/>
          <w:szCs w:val="22"/>
        </w:rPr>
        <w:t>modifie</w:t>
      </w:r>
      <w:r w:rsidR="004408BB">
        <w:rPr>
          <w:rFonts w:ascii="Arial" w:hAnsi="Arial"/>
          <w:sz w:val="22"/>
          <w:szCs w:val="22"/>
        </w:rPr>
        <w:t>d</w:t>
      </w:r>
      <w:r w:rsidR="00597F72">
        <w:rPr>
          <w:rFonts w:ascii="Arial" w:hAnsi="Arial"/>
          <w:sz w:val="22"/>
          <w:szCs w:val="22"/>
        </w:rPr>
        <w:t xml:space="preserve"> using toxicity testing</w:t>
      </w:r>
      <w:r w:rsidR="00300B98">
        <w:rPr>
          <w:rFonts w:ascii="Arial" w:hAnsi="Arial"/>
          <w:sz w:val="22"/>
          <w:szCs w:val="22"/>
        </w:rPr>
        <w:t xml:space="preserve"> (see Section 4.3)</w:t>
      </w:r>
      <w:r w:rsidR="00D937B8">
        <w:rPr>
          <w:rFonts w:ascii="Arial" w:hAnsi="Arial"/>
          <w:sz w:val="22"/>
          <w:szCs w:val="22"/>
        </w:rPr>
        <w:t>.</w:t>
      </w:r>
    </w:p>
    <w:p w14:paraId="29C8EEEA" w14:textId="77777777" w:rsidR="0033560D" w:rsidRDefault="0033560D" w:rsidP="002B26F4">
      <w:pPr>
        <w:jc w:val="both"/>
        <w:rPr>
          <w:rFonts w:ascii="Arial" w:hAnsi="Arial"/>
          <w:sz w:val="22"/>
          <w:szCs w:val="22"/>
        </w:rPr>
      </w:pPr>
    </w:p>
    <w:p w14:paraId="1C825C6E" w14:textId="77777777" w:rsidR="0033560D" w:rsidRDefault="0033560D" w:rsidP="002B26F4">
      <w:pPr>
        <w:jc w:val="both"/>
        <w:rPr>
          <w:rFonts w:ascii="Arial" w:hAnsi="Arial"/>
          <w:sz w:val="22"/>
          <w:szCs w:val="22"/>
        </w:rPr>
      </w:pPr>
      <w:r w:rsidRPr="004C53A3">
        <w:rPr>
          <w:rFonts w:ascii="Arial" w:hAnsi="Arial"/>
          <w:sz w:val="22"/>
          <w:szCs w:val="22"/>
          <w:u w:val="single"/>
        </w:rPr>
        <w:t xml:space="preserve">3.4.1 </w:t>
      </w:r>
      <w:r w:rsidR="001A7357" w:rsidRPr="004C53A3">
        <w:rPr>
          <w:rFonts w:ascii="Arial" w:hAnsi="Arial"/>
          <w:sz w:val="22"/>
          <w:szCs w:val="22"/>
          <w:u w:val="single"/>
        </w:rPr>
        <w:t>AVS</w:t>
      </w:r>
      <w:r w:rsidR="001A7357">
        <w:rPr>
          <w:rFonts w:ascii="Arial" w:hAnsi="Arial"/>
          <w:sz w:val="22"/>
          <w:szCs w:val="22"/>
          <w:u w:val="single"/>
        </w:rPr>
        <w:t>/</w:t>
      </w:r>
      <w:r>
        <w:rPr>
          <w:rFonts w:ascii="Arial" w:hAnsi="Arial"/>
          <w:sz w:val="22"/>
          <w:szCs w:val="22"/>
          <w:u w:val="single"/>
        </w:rPr>
        <w:t xml:space="preserve">SEM </w:t>
      </w:r>
    </w:p>
    <w:p w14:paraId="50209E22" w14:textId="77777777" w:rsidR="00E30BA5" w:rsidRDefault="00E30BA5" w:rsidP="002B26F4">
      <w:pPr>
        <w:jc w:val="both"/>
        <w:rPr>
          <w:rFonts w:ascii="Arial" w:hAnsi="Arial"/>
          <w:sz w:val="22"/>
          <w:szCs w:val="22"/>
        </w:rPr>
      </w:pPr>
    </w:p>
    <w:p w14:paraId="0E5F64B5" w14:textId="77777777" w:rsidR="00E30BA5" w:rsidRPr="0033560D" w:rsidRDefault="00E30BA5" w:rsidP="002B26F4">
      <w:pPr>
        <w:jc w:val="both"/>
        <w:rPr>
          <w:rFonts w:ascii="Arial" w:hAnsi="Arial"/>
          <w:sz w:val="22"/>
          <w:szCs w:val="22"/>
        </w:rPr>
      </w:pPr>
      <w:r>
        <w:rPr>
          <w:rFonts w:ascii="Arial" w:hAnsi="Arial"/>
          <w:sz w:val="22"/>
          <w:szCs w:val="22"/>
        </w:rPr>
        <w:tab/>
        <w:t xml:space="preserve">In </w:t>
      </w:r>
      <w:r w:rsidR="00923A8F">
        <w:rPr>
          <w:rFonts w:ascii="Arial" w:hAnsi="Arial"/>
          <w:sz w:val="22"/>
          <w:szCs w:val="22"/>
        </w:rPr>
        <w:t xml:space="preserve">anoxic </w:t>
      </w:r>
      <w:r>
        <w:rPr>
          <w:rFonts w:ascii="Arial" w:hAnsi="Arial"/>
          <w:sz w:val="22"/>
          <w:szCs w:val="22"/>
        </w:rPr>
        <w:t xml:space="preserve">sediment, sulfides </w:t>
      </w:r>
      <w:r w:rsidR="00923A8F">
        <w:rPr>
          <w:rFonts w:ascii="Arial" w:hAnsi="Arial"/>
          <w:sz w:val="22"/>
          <w:szCs w:val="22"/>
        </w:rPr>
        <w:t xml:space="preserve">are the primary binding </w:t>
      </w:r>
      <w:r w:rsidR="00FE7380">
        <w:rPr>
          <w:rFonts w:ascii="Arial" w:hAnsi="Arial"/>
          <w:sz w:val="22"/>
          <w:szCs w:val="22"/>
        </w:rPr>
        <w:t>material</w:t>
      </w:r>
      <w:r w:rsidR="00923A8F">
        <w:rPr>
          <w:rFonts w:ascii="Arial" w:hAnsi="Arial"/>
          <w:sz w:val="22"/>
          <w:szCs w:val="22"/>
        </w:rPr>
        <w:t xml:space="preserve"> for cationic</w:t>
      </w:r>
      <w:r>
        <w:rPr>
          <w:rFonts w:ascii="Arial" w:hAnsi="Arial"/>
          <w:sz w:val="22"/>
          <w:szCs w:val="22"/>
        </w:rPr>
        <w:t xml:space="preserve"> metals (Cd, Ni, Cu, Pb, Zn)</w:t>
      </w:r>
      <w:r w:rsidR="00923A8F">
        <w:rPr>
          <w:rFonts w:ascii="Arial" w:hAnsi="Arial"/>
          <w:sz w:val="22"/>
          <w:szCs w:val="22"/>
        </w:rPr>
        <w:t xml:space="preserve"> (US EPA, </w:t>
      </w:r>
      <w:r w:rsidR="0027635C">
        <w:rPr>
          <w:rFonts w:ascii="Arial" w:hAnsi="Arial"/>
          <w:sz w:val="22"/>
          <w:szCs w:val="22"/>
        </w:rPr>
        <w:t>2007</w:t>
      </w:r>
      <w:r w:rsidR="00923A8F">
        <w:rPr>
          <w:rFonts w:ascii="Arial" w:hAnsi="Arial"/>
          <w:sz w:val="22"/>
          <w:szCs w:val="22"/>
        </w:rPr>
        <w:t>)</w:t>
      </w:r>
      <w:r w:rsidR="0027635C">
        <w:rPr>
          <w:rFonts w:ascii="Arial" w:hAnsi="Arial"/>
          <w:sz w:val="22"/>
          <w:szCs w:val="22"/>
        </w:rPr>
        <w:t>.</w:t>
      </w:r>
      <w:r>
        <w:rPr>
          <w:rFonts w:ascii="Arial" w:hAnsi="Arial"/>
          <w:sz w:val="22"/>
          <w:szCs w:val="22"/>
        </w:rPr>
        <w:t xml:space="preserve"> </w:t>
      </w:r>
      <w:r w:rsidR="0027635C">
        <w:rPr>
          <w:rFonts w:ascii="Arial" w:hAnsi="Arial"/>
          <w:sz w:val="22"/>
          <w:szCs w:val="22"/>
        </w:rPr>
        <w:t xml:space="preserve"> </w:t>
      </w:r>
      <w:r w:rsidR="00923A8F">
        <w:rPr>
          <w:rFonts w:ascii="Arial" w:hAnsi="Arial"/>
          <w:sz w:val="22"/>
          <w:szCs w:val="22"/>
        </w:rPr>
        <w:t xml:space="preserve">These sulfide-metal complexes are insoluble and </w:t>
      </w:r>
      <w:r w:rsidR="00FE7380">
        <w:rPr>
          <w:rFonts w:ascii="Arial" w:hAnsi="Arial"/>
          <w:sz w:val="22"/>
          <w:szCs w:val="22"/>
        </w:rPr>
        <w:t>no longer bioavailable</w:t>
      </w:r>
      <w:r>
        <w:rPr>
          <w:rFonts w:ascii="Arial" w:hAnsi="Arial"/>
          <w:sz w:val="22"/>
          <w:szCs w:val="22"/>
        </w:rPr>
        <w:t xml:space="preserve"> to biological organisms.</w:t>
      </w:r>
      <w:r w:rsidR="00FE7380">
        <w:rPr>
          <w:rFonts w:ascii="Arial" w:hAnsi="Arial"/>
          <w:sz w:val="22"/>
          <w:szCs w:val="22"/>
        </w:rPr>
        <w:t xml:space="preserve">  To determine the sulfide binding potential, s</w:t>
      </w:r>
      <w:r w:rsidR="001A7357">
        <w:rPr>
          <w:rFonts w:ascii="Arial" w:hAnsi="Arial"/>
          <w:sz w:val="22"/>
          <w:szCs w:val="22"/>
        </w:rPr>
        <w:t xml:space="preserve">ediments can be </w:t>
      </w:r>
      <w:r w:rsidR="00923A8F">
        <w:rPr>
          <w:rFonts w:ascii="Arial" w:hAnsi="Arial"/>
          <w:sz w:val="22"/>
          <w:szCs w:val="22"/>
        </w:rPr>
        <w:t xml:space="preserve">extracted with hydrochloric acid and </w:t>
      </w:r>
      <w:r w:rsidR="001A7357">
        <w:rPr>
          <w:rFonts w:ascii="Arial" w:hAnsi="Arial"/>
          <w:sz w:val="22"/>
          <w:szCs w:val="22"/>
        </w:rPr>
        <w:t xml:space="preserve">analyzed for </w:t>
      </w:r>
      <w:r w:rsidR="00923A8F">
        <w:rPr>
          <w:rFonts w:ascii="Arial" w:hAnsi="Arial"/>
          <w:sz w:val="22"/>
          <w:szCs w:val="22"/>
        </w:rPr>
        <w:t xml:space="preserve">the </w:t>
      </w:r>
      <w:r w:rsidR="001A7357">
        <w:rPr>
          <w:rFonts w:ascii="Arial" w:hAnsi="Arial"/>
          <w:sz w:val="22"/>
          <w:szCs w:val="22"/>
        </w:rPr>
        <w:t xml:space="preserve">acid volatile sulfides (AVS) and simultaneously extracted </w:t>
      </w:r>
      <w:r w:rsidR="00923A8F">
        <w:rPr>
          <w:rFonts w:ascii="Arial" w:hAnsi="Arial"/>
          <w:sz w:val="22"/>
          <w:szCs w:val="22"/>
        </w:rPr>
        <w:t xml:space="preserve">cationic </w:t>
      </w:r>
      <w:r w:rsidR="001A7357">
        <w:rPr>
          <w:rFonts w:ascii="Arial" w:hAnsi="Arial"/>
          <w:sz w:val="22"/>
          <w:szCs w:val="22"/>
        </w:rPr>
        <w:t>metals (SEM).</w:t>
      </w:r>
      <w:r w:rsidR="00923A8F">
        <w:rPr>
          <w:rFonts w:ascii="Arial" w:hAnsi="Arial"/>
          <w:sz w:val="22"/>
          <w:szCs w:val="22"/>
        </w:rPr>
        <w:t xml:space="preserve">  When the molar concentration of AVS exceeds the sum of the SEM, </w:t>
      </w:r>
      <w:r w:rsidR="00E63E93">
        <w:rPr>
          <w:rFonts w:ascii="Arial" w:hAnsi="Arial"/>
          <w:sz w:val="22"/>
          <w:szCs w:val="22"/>
        </w:rPr>
        <w:t>the metal is bound and not considered to be bioavailable.  If the sum of the SEM exceeds the AVS, the metals are present in concentrations greater than the binding capacity of the sulfide and are considered bioavailable.</w:t>
      </w:r>
    </w:p>
    <w:p w14:paraId="7CA72BDF" w14:textId="77777777" w:rsidR="0033560D" w:rsidRDefault="0033560D" w:rsidP="002B26F4">
      <w:pPr>
        <w:jc w:val="both"/>
        <w:rPr>
          <w:rFonts w:ascii="Arial" w:hAnsi="Arial"/>
          <w:sz w:val="22"/>
          <w:szCs w:val="22"/>
        </w:rPr>
      </w:pPr>
    </w:p>
    <w:p w14:paraId="344B0C17" w14:textId="77777777" w:rsidR="0033560D" w:rsidRDefault="0033560D" w:rsidP="002B26F4">
      <w:pPr>
        <w:jc w:val="both"/>
        <w:rPr>
          <w:rFonts w:ascii="Arial" w:hAnsi="Arial"/>
          <w:sz w:val="22"/>
          <w:szCs w:val="22"/>
        </w:rPr>
      </w:pPr>
      <w:r w:rsidRPr="004C53A3">
        <w:rPr>
          <w:rFonts w:ascii="Arial" w:hAnsi="Arial"/>
          <w:sz w:val="22"/>
          <w:szCs w:val="22"/>
          <w:u w:val="single"/>
        </w:rPr>
        <w:t xml:space="preserve">3.4.2 </w:t>
      </w:r>
      <w:r>
        <w:rPr>
          <w:rFonts w:ascii="Arial" w:hAnsi="Arial"/>
          <w:sz w:val="22"/>
          <w:szCs w:val="22"/>
          <w:u w:val="single"/>
        </w:rPr>
        <w:t>pH</w:t>
      </w:r>
      <w:r>
        <w:rPr>
          <w:rFonts w:ascii="Arial" w:hAnsi="Arial"/>
          <w:sz w:val="22"/>
          <w:szCs w:val="22"/>
        </w:rPr>
        <w:t xml:space="preserve"> </w:t>
      </w:r>
    </w:p>
    <w:p w14:paraId="3E1B8E6B" w14:textId="77777777" w:rsidR="009E7550" w:rsidRDefault="009E7550" w:rsidP="002B26F4">
      <w:pPr>
        <w:jc w:val="both"/>
        <w:rPr>
          <w:rFonts w:ascii="Arial" w:hAnsi="Arial"/>
          <w:sz w:val="22"/>
          <w:szCs w:val="22"/>
        </w:rPr>
      </w:pPr>
    </w:p>
    <w:p w14:paraId="42338453" w14:textId="77777777" w:rsidR="009E7550" w:rsidRPr="0033560D" w:rsidRDefault="009E7550" w:rsidP="002B26F4">
      <w:pPr>
        <w:jc w:val="both"/>
        <w:rPr>
          <w:rFonts w:ascii="Arial" w:hAnsi="Arial"/>
          <w:sz w:val="22"/>
          <w:szCs w:val="22"/>
        </w:rPr>
      </w:pPr>
      <w:r>
        <w:rPr>
          <w:rFonts w:ascii="Arial" w:hAnsi="Arial"/>
          <w:sz w:val="22"/>
          <w:szCs w:val="22"/>
        </w:rPr>
        <w:tab/>
      </w:r>
      <w:r w:rsidR="00E750C0">
        <w:rPr>
          <w:rFonts w:ascii="Arial" w:hAnsi="Arial"/>
          <w:sz w:val="22"/>
          <w:szCs w:val="22"/>
        </w:rPr>
        <w:t xml:space="preserve">Bioavailability of metals is a </w:t>
      </w:r>
      <w:r w:rsidR="0014747D">
        <w:rPr>
          <w:rFonts w:ascii="Arial" w:hAnsi="Arial"/>
          <w:sz w:val="22"/>
          <w:szCs w:val="22"/>
        </w:rPr>
        <w:t xml:space="preserve">function of whether they exist in the bound or free state.  </w:t>
      </w:r>
      <w:r>
        <w:rPr>
          <w:rFonts w:ascii="Arial" w:hAnsi="Arial"/>
          <w:sz w:val="22"/>
          <w:szCs w:val="22"/>
        </w:rPr>
        <w:t xml:space="preserve">The pH of contaminated media </w:t>
      </w:r>
      <w:r w:rsidR="003F7ECB">
        <w:rPr>
          <w:rFonts w:ascii="Arial" w:hAnsi="Arial"/>
          <w:sz w:val="22"/>
          <w:szCs w:val="22"/>
        </w:rPr>
        <w:t xml:space="preserve">influences the </w:t>
      </w:r>
      <w:r w:rsidR="00FE7380">
        <w:rPr>
          <w:rFonts w:ascii="Arial" w:hAnsi="Arial"/>
          <w:sz w:val="22"/>
          <w:szCs w:val="22"/>
        </w:rPr>
        <w:t>binding</w:t>
      </w:r>
      <w:r w:rsidR="003F7ECB">
        <w:rPr>
          <w:rFonts w:ascii="Arial" w:hAnsi="Arial"/>
          <w:sz w:val="22"/>
          <w:szCs w:val="22"/>
        </w:rPr>
        <w:t xml:space="preserve"> of metals in the environment and, therefore, alters bioavailability</w:t>
      </w:r>
      <w:r>
        <w:rPr>
          <w:rFonts w:ascii="Arial" w:hAnsi="Arial"/>
          <w:sz w:val="22"/>
          <w:szCs w:val="22"/>
        </w:rPr>
        <w:t>.</w:t>
      </w:r>
      <w:r w:rsidR="003F7ECB">
        <w:rPr>
          <w:rFonts w:ascii="Arial" w:hAnsi="Arial"/>
          <w:sz w:val="22"/>
          <w:szCs w:val="22"/>
        </w:rPr>
        <w:t xml:space="preserve">  The solubility of cationic metals is greatest under acidic conditions and decreases with increasing pH.  Conversely, metalloids that exist as anionic species (e.g., arsenic) increas</w:t>
      </w:r>
      <w:r w:rsidR="005479DF">
        <w:rPr>
          <w:rFonts w:ascii="Arial" w:hAnsi="Arial"/>
          <w:sz w:val="22"/>
          <w:szCs w:val="22"/>
        </w:rPr>
        <w:t>e solubility with increasing pH (US EPA, 2007).</w:t>
      </w:r>
      <w:r w:rsidR="007D3B2E">
        <w:rPr>
          <w:rFonts w:ascii="Arial" w:hAnsi="Arial"/>
          <w:sz w:val="22"/>
          <w:szCs w:val="22"/>
        </w:rPr>
        <w:t xml:space="preserve">  </w:t>
      </w:r>
      <w:r w:rsidR="00295065">
        <w:rPr>
          <w:rFonts w:ascii="Arial" w:hAnsi="Arial"/>
          <w:sz w:val="22"/>
          <w:szCs w:val="22"/>
        </w:rPr>
        <w:t xml:space="preserve">The Biotic Ligand Model </w:t>
      </w:r>
      <w:r w:rsidR="00FE7380">
        <w:rPr>
          <w:rFonts w:ascii="Arial" w:hAnsi="Arial"/>
          <w:sz w:val="22"/>
          <w:szCs w:val="22"/>
        </w:rPr>
        <w:t xml:space="preserve">software </w:t>
      </w:r>
      <w:r w:rsidR="00295065">
        <w:rPr>
          <w:rFonts w:ascii="Arial" w:hAnsi="Arial"/>
          <w:sz w:val="22"/>
          <w:szCs w:val="22"/>
        </w:rPr>
        <w:t xml:space="preserve">accounts for changes in </w:t>
      </w:r>
      <w:r w:rsidR="003C2C37">
        <w:rPr>
          <w:rFonts w:ascii="Arial" w:hAnsi="Arial"/>
          <w:sz w:val="22"/>
          <w:szCs w:val="22"/>
        </w:rPr>
        <w:t xml:space="preserve">metal </w:t>
      </w:r>
      <w:r w:rsidR="00295065">
        <w:rPr>
          <w:rFonts w:ascii="Arial" w:hAnsi="Arial"/>
          <w:sz w:val="22"/>
          <w:szCs w:val="22"/>
        </w:rPr>
        <w:t xml:space="preserve">binding with changes in pH.  It </w:t>
      </w:r>
      <w:r w:rsidR="003C2C37">
        <w:rPr>
          <w:rFonts w:ascii="Arial" w:hAnsi="Arial"/>
          <w:sz w:val="22"/>
          <w:szCs w:val="22"/>
        </w:rPr>
        <w:t xml:space="preserve">uses several water chemistry </w:t>
      </w:r>
      <w:r w:rsidR="00FB3BD4">
        <w:rPr>
          <w:rFonts w:ascii="Arial" w:hAnsi="Arial"/>
          <w:sz w:val="22"/>
          <w:szCs w:val="22"/>
        </w:rPr>
        <w:t>values</w:t>
      </w:r>
      <w:r w:rsidR="003C2C37">
        <w:rPr>
          <w:rFonts w:ascii="Arial" w:hAnsi="Arial"/>
          <w:sz w:val="22"/>
          <w:szCs w:val="22"/>
        </w:rPr>
        <w:t xml:space="preserve"> to calculate changes in bioavailability</w:t>
      </w:r>
      <w:r w:rsidR="00FE7380">
        <w:rPr>
          <w:rFonts w:ascii="Arial" w:hAnsi="Arial"/>
          <w:sz w:val="22"/>
          <w:szCs w:val="22"/>
        </w:rPr>
        <w:t xml:space="preserve"> due to site-specific conditions</w:t>
      </w:r>
      <w:r w:rsidR="00FB3BD4">
        <w:rPr>
          <w:rFonts w:ascii="Arial" w:hAnsi="Arial"/>
          <w:sz w:val="22"/>
          <w:szCs w:val="22"/>
        </w:rPr>
        <w:t xml:space="preserve"> (HydroQual, 2007)</w:t>
      </w:r>
      <w:r w:rsidR="003C2C37">
        <w:rPr>
          <w:rFonts w:ascii="Arial" w:hAnsi="Arial"/>
          <w:sz w:val="22"/>
          <w:szCs w:val="22"/>
        </w:rPr>
        <w:t>.</w:t>
      </w:r>
      <w:r w:rsidR="007D3B2E">
        <w:rPr>
          <w:rFonts w:ascii="Arial" w:hAnsi="Arial"/>
          <w:sz w:val="22"/>
          <w:szCs w:val="22"/>
        </w:rPr>
        <w:t xml:space="preserve"> </w:t>
      </w:r>
    </w:p>
    <w:p w14:paraId="4D683BBE" w14:textId="77777777" w:rsidR="0033560D" w:rsidRDefault="0033560D" w:rsidP="002B26F4">
      <w:pPr>
        <w:jc w:val="both"/>
        <w:rPr>
          <w:rFonts w:ascii="Arial" w:hAnsi="Arial"/>
          <w:sz w:val="22"/>
          <w:szCs w:val="22"/>
        </w:rPr>
      </w:pPr>
    </w:p>
    <w:p w14:paraId="40CEB1ED" w14:textId="77777777" w:rsidR="000C525F" w:rsidRDefault="000C525F" w:rsidP="002B26F4">
      <w:pPr>
        <w:jc w:val="both"/>
        <w:rPr>
          <w:rFonts w:ascii="Arial" w:hAnsi="Arial"/>
          <w:sz w:val="22"/>
          <w:szCs w:val="22"/>
        </w:rPr>
      </w:pPr>
    </w:p>
    <w:p w14:paraId="548CA444" w14:textId="77777777" w:rsidR="000C525F" w:rsidRDefault="000C525F" w:rsidP="002B26F4">
      <w:pPr>
        <w:jc w:val="both"/>
        <w:rPr>
          <w:rFonts w:ascii="Arial" w:hAnsi="Arial"/>
          <w:sz w:val="22"/>
          <w:szCs w:val="22"/>
        </w:rPr>
      </w:pPr>
    </w:p>
    <w:p w14:paraId="32C8CED4" w14:textId="77777777" w:rsidR="0033560D" w:rsidRDefault="0033560D" w:rsidP="002B26F4">
      <w:pPr>
        <w:jc w:val="both"/>
        <w:rPr>
          <w:rFonts w:ascii="Arial" w:hAnsi="Arial"/>
          <w:sz w:val="22"/>
          <w:szCs w:val="22"/>
          <w:u w:val="single"/>
        </w:rPr>
      </w:pPr>
      <w:r w:rsidRPr="004C53A3">
        <w:rPr>
          <w:rFonts w:ascii="Arial" w:hAnsi="Arial"/>
          <w:sz w:val="22"/>
          <w:szCs w:val="22"/>
          <w:u w:val="single"/>
        </w:rPr>
        <w:lastRenderedPageBreak/>
        <w:t xml:space="preserve">3.4.3 </w:t>
      </w:r>
      <w:r>
        <w:rPr>
          <w:rFonts w:ascii="Arial" w:hAnsi="Arial"/>
          <w:sz w:val="22"/>
          <w:szCs w:val="22"/>
          <w:u w:val="single"/>
        </w:rPr>
        <w:t xml:space="preserve">Total Organic Carbon </w:t>
      </w:r>
    </w:p>
    <w:p w14:paraId="5CB35695" w14:textId="77777777" w:rsidR="009D6ECA" w:rsidRDefault="009D6ECA" w:rsidP="002B26F4">
      <w:pPr>
        <w:jc w:val="both"/>
        <w:rPr>
          <w:rFonts w:ascii="Arial" w:hAnsi="Arial"/>
          <w:sz w:val="22"/>
          <w:szCs w:val="22"/>
          <w:u w:val="single"/>
        </w:rPr>
      </w:pPr>
    </w:p>
    <w:p w14:paraId="670D7B7A" w14:textId="77777777" w:rsidR="009D6ECA" w:rsidRPr="009D6ECA" w:rsidRDefault="009D6ECA" w:rsidP="002B26F4">
      <w:pPr>
        <w:jc w:val="both"/>
        <w:rPr>
          <w:rFonts w:ascii="Arial" w:hAnsi="Arial"/>
          <w:sz w:val="22"/>
          <w:szCs w:val="22"/>
        </w:rPr>
      </w:pPr>
      <w:r>
        <w:rPr>
          <w:rFonts w:ascii="Arial" w:hAnsi="Arial"/>
          <w:sz w:val="22"/>
          <w:szCs w:val="22"/>
        </w:rPr>
        <w:tab/>
        <w:t xml:space="preserve">Organic carbon binds </w:t>
      </w:r>
      <w:r w:rsidR="001C503E">
        <w:rPr>
          <w:rFonts w:ascii="Arial" w:hAnsi="Arial"/>
          <w:sz w:val="22"/>
          <w:szCs w:val="22"/>
        </w:rPr>
        <w:t xml:space="preserve">to non-polar </w:t>
      </w:r>
      <w:r>
        <w:rPr>
          <w:rFonts w:ascii="Arial" w:hAnsi="Arial"/>
          <w:sz w:val="22"/>
          <w:szCs w:val="22"/>
        </w:rPr>
        <w:t xml:space="preserve">organic </w:t>
      </w:r>
      <w:r w:rsidR="005A0CAF">
        <w:rPr>
          <w:rFonts w:ascii="Arial" w:hAnsi="Arial"/>
          <w:sz w:val="22"/>
          <w:szCs w:val="22"/>
        </w:rPr>
        <w:t>chemicals</w:t>
      </w:r>
      <w:r>
        <w:rPr>
          <w:rFonts w:ascii="Arial" w:hAnsi="Arial"/>
          <w:sz w:val="22"/>
          <w:szCs w:val="22"/>
        </w:rPr>
        <w:t xml:space="preserve"> and some metals (weakly).</w:t>
      </w:r>
      <w:r w:rsidR="001C503E">
        <w:rPr>
          <w:rFonts w:ascii="Arial" w:hAnsi="Arial"/>
          <w:sz w:val="22"/>
          <w:szCs w:val="22"/>
        </w:rPr>
        <w:t xml:space="preserve">  As organic carbon content increases, bioavailability of these chemicals decreases.  Therefore, t</w:t>
      </w:r>
      <w:r>
        <w:rPr>
          <w:rFonts w:ascii="Arial" w:hAnsi="Arial"/>
          <w:sz w:val="22"/>
          <w:szCs w:val="22"/>
        </w:rPr>
        <w:t>he total organic carbon (TOC) content of sediment and soil</w:t>
      </w:r>
      <w:r w:rsidR="00122308">
        <w:rPr>
          <w:rFonts w:ascii="Arial" w:hAnsi="Arial"/>
          <w:sz w:val="22"/>
          <w:szCs w:val="22"/>
        </w:rPr>
        <w:t xml:space="preserve"> can be utilized to adjust </w:t>
      </w:r>
      <w:r w:rsidR="009B5DAD">
        <w:rPr>
          <w:rFonts w:ascii="Arial" w:hAnsi="Arial"/>
          <w:sz w:val="22"/>
          <w:szCs w:val="22"/>
        </w:rPr>
        <w:t>TOC</w:t>
      </w:r>
      <w:r w:rsidR="00122308">
        <w:rPr>
          <w:rFonts w:ascii="Arial" w:hAnsi="Arial"/>
          <w:sz w:val="22"/>
          <w:szCs w:val="22"/>
        </w:rPr>
        <w:t>-normalized screening values.</w:t>
      </w:r>
      <w:r w:rsidR="009B5DAD">
        <w:rPr>
          <w:rFonts w:ascii="Arial" w:hAnsi="Arial"/>
          <w:sz w:val="22"/>
          <w:szCs w:val="22"/>
        </w:rPr>
        <w:t xml:space="preserve">  Adjusting TOC-normalized screening values to account for site-specific organic carbon content is valid only if the TOC is greater than 0.2%.  At TOC concentrations less than 0.2%, organic carbon is no longer the predominant factor in determining partitioning between soil/sediment and water (ITRC, 2011).  It is important to note that this adjustment can only be made to TOC-normalized screening values.  If the screening value is not normalized, it does not represent any specific carbon content and cannot be adjusted based on site-specific values.</w:t>
      </w:r>
    </w:p>
    <w:p w14:paraId="0B46E000" w14:textId="77777777" w:rsidR="00C10F01" w:rsidRDefault="00C10F01" w:rsidP="002B26F4">
      <w:pPr>
        <w:jc w:val="both"/>
        <w:rPr>
          <w:rFonts w:ascii="Arial" w:hAnsi="Arial"/>
          <w:i/>
          <w:sz w:val="22"/>
          <w:szCs w:val="22"/>
        </w:rPr>
      </w:pPr>
    </w:p>
    <w:p w14:paraId="390C09F6" w14:textId="77777777" w:rsidR="00692DB8" w:rsidRDefault="00692DB8" w:rsidP="00B9194D">
      <w:pPr>
        <w:jc w:val="both"/>
        <w:rPr>
          <w:rFonts w:ascii="Arial" w:hAnsi="Arial"/>
          <w:i/>
          <w:sz w:val="22"/>
          <w:szCs w:val="22"/>
        </w:rPr>
      </w:pPr>
      <w:r w:rsidRPr="00336613">
        <w:rPr>
          <w:rFonts w:ascii="Arial" w:hAnsi="Arial"/>
          <w:i/>
          <w:sz w:val="22"/>
          <w:szCs w:val="22"/>
        </w:rPr>
        <w:t>3.5 Modeling</w:t>
      </w:r>
    </w:p>
    <w:p w14:paraId="1DE6F16B" w14:textId="77777777" w:rsidR="008C269E" w:rsidRDefault="008C269E" w:rsidP="00B9194D">
      <w:pPr>
        <w:jc w:val="both"/>
        <w:rPr>
          <w:rFonts w:ascii="Arial" w:hAnsi="Arial"/>
          <w:i/>
          <w:sz w:val="22"/>
          <w:szCs w:val="22"/>
        </w:rPr>
      </w:pPr>
    </w:p>
    <w:p w14:paraId="3FC8618D" w14:textId="77777777" w:rsidR="008C269E" w:rsidRPr="008C269E" w:rsidRDefault="008C269E" w:rsidP="00B9194D">
      <w:pPr>
        <w:jc w:val="both"/>
        <w:rPr>
          <w:rFonts w:ascii="Arial" w:hAnsi="Arial"/>
          <w:sz w:val="22"/>
          <w:szCs w:val="22"/>
          <w:highlight w:val="yellow"/>
        </w:rPr>
      </w:pPr>
      <w:r>
        <w:rPr>
          <w:rFonts w:ascii="Arial" w:hAnsi="Arial"/>
          <w:sz w:val="22"/>
          <w:szCs w:val="22"/>
        </w:rPr>
        <w:tab/>
        <w:t>Modeling is often used to predict current or future environmental contaminant levels when actual measurements are not available.  Many different types of models are available and it is important to utilize a model that provides outputs relevant to the assessment.</w:t>
      </w:r>
      <w:r w:rsidR="004B0954">
        <w:rPr>
          <w:rFonts w:ascii="Arial" w:hAnsi="Arial"/>
          <w:sz w:val="22"/>
          <w:szCs w:val="22"/>
        </w:rPr>
        <w:t xml:space="preserve">  Additionally, </w:t>
      </w:r>
      <w:r w:rsidR="00F1422E">
        <w:rPr>
          <w:rFonts w:ascii="Arial" w:hAnsi="Arial"/>
          <w:sz w:val="22"/>
          <w:szCs w:val="22"/>
        </w:rPr>
        <w:t>the chosen model</w:t>
      </w:r>
      <w:r w:rsidR="004B0954">
        <w:rPr>
          <w:rFonts w:ascii="Arial" w:hAnsi="Arial"/>
          <w:sz w:val="22"/>
          <w:szCs w:val="22"/>
        </w:rPr>
        <w:t xml:space="preserve"> should have some level of validation and peer review.</w:t>
      </w:r>
    </w:p>
    <w:p w14:paraId="0553233C" w14:textId="77777777" w:rsidR="00692DB8" w:rsidRPr="007423F3" w:rsidRDefault="00692DB8" w:rsidP="00B9194D">
      <w:pPr>
        <w:jc w:val="both"/>
        <w:rPr>
          <w:rFonts w:ascii="Arial" w:hAnsi="Arial"/>
          <w:i/>
          <w:sz w:val="22"/>
          <w:szCs w:val="22"/>
          <w:highlight w:val="yellow"/>
        </w:rPr>
      </w:pPr>
    </w:p>
    <w:p w14:paraId="617B736F" w14:textId="77777777" w:rsidR="00692DB8" w:rsidRDefault="00692DB8" w:rsidP="00B9194D">
      <w:pPr>
        <w:jc w:val="both"/>
        <w:rPr>
          <w:rFonts w:ascii="Arial" w:hAnsi="Arial"/>
          <w:sz w:val="22"/>
          <w:szCs w:val="22"/>
          <w:u w:val="single"/>
        </w:rPr>
      </w:pPr>
      <w:r w:rsidRPr="00336613">
        <w:rPr>
          <w:rFonts w:ascii="Arial" w:hAnsi="Arial"/>
          <w:sz w:val="22"/>
          <w:szCs w:val="22"/>
          <w:u w:val="single"/>
        </w:rPr>
        <w:t>3.5.1 Fate and Transport Modeling</w:t>
      </w:r>
    </w:p>
    <w:p w14:paraId="580863D5" w14:textId="77777777" w:rsidR="009171CC" w:rsidRDefault="009171CC" w:rsidP="00B9194D">
      <w:pPr>
        <w:jc w:val="both"/>
        <w:rPr>
          <w:rFonts w:ascii="Arial" w:hAnsi="Arial"/>
          <w:sz w:val="22"/>
          <w:szCs w:val="22"/>
          <w:u w:val="single"/>
        </w:rPr>
      </w:pPr>
    </w:p>
    <w:p w14:paraId="54EABB8B" w14:textId="77777777" w:rsidR="009171CC" w:rsidRPr="009171CC" w:rsidRDefault="009171CC" w:rsidP="00B9194D">
      <w:pPr>
        <w:jc w:val="both"/>
        <w:rPr>
          <w:rFonts w:ascii="Arial" w:hAnsi="Arial"/>
          <w:sz w:val="22"/>
          <w:szCs w:val="22"/>
          <w:highlight w:val="yellow"/>
        </w:rPr>
      </w:pPr>
      <w:r>
        <w:rPr>
          <w:rFonts w:ascii="Arial" w:hAnsi="Arial"/>
          <w:sz w:val="22"/>
          <w:szCs w:val="22"/>
        </w:rPr>
        <w:tab/>
        <w:t xml:space="preserve">Fate and transport modeling characterizes the </w:t>
      </w:r>
      <w:r w:rsidR="000B5557">
        <w:rPr>
          <w:rFonts w:ascii="Arial" w:hAnsi="Arial"/>
          <w:sz w:val="22"/>
          <w:szCs w:val="22"/>
        </w:rPr>
        <w:t xml:space="preserve">effects of chemical, physical, and biological processes on the </w:t>
      </w:r>
      <w:r>
        <w:rPr>
          <w:rFonts w:ascii="Arial" w:hAnsi="Arial"/>
          <w:sz w:val="22"/>
          <w:szCs w:val="22"/>
        </w:rPr>
        <w:t>movement</w:t>
      </w:r>
      <w:r w:rsidR="000B5557">
        <w:rPr>
          <w:rFonts w:ascii="Arial" w:hAnsi="Arial"/>
          <w:sz w:val="22"/>
          <w:szCs w:val="22"/>
        </w:rPr>
        <w:t xml:space="preserve"> and alteration of chemicals in the </w:t>
      </w:r>
      <w:r w:rsidR="00763129">
        <w:rPr>
          <w:rFonts w:ascii="Arial" w:hAnsi="Arial"/>
          <w:sz w:val="22"/>
          <w:szCs w:val="22"/>
        </w:rPr>
        <w:t>environment</w:t>
      </w:r>
      <w:r w:rsidR="000B5557">
        <w:rPr>
          <w:rFonts w:ascii="Arial" w:hAnsi="Arial"/>
          <w:sz w:val="22"/>
          <w:szCs w:val="22"/>
        </w:rPr>
        <w:t>.</w:t>
      </w:r>
      <w:r w:rsidR="00006E84">
        <w:rPr>
          <w:rFonts w:ascii="Arial" w:hAnsi="Arial"/>
          <w:sz w:val="22"/>
          <w:szCs w:val="22"/>
        </w:rPr>
        <w:t xml:space="preserve">  </w:t>
      </w:r>
      <w:r w:rsidR="0020774A">
        <w:rPr>
          <w:rFonts w:ascii="Arial" w:hAnsi="Arial"/>
          <w:sz w:val="22"/>
          <w:szCs w:val="22"/>
        </w:rPr>
        <w:t xml:space="preserve">Several fate and transport models are available with differing levels of peer review and validation.  </w:t>
      </w:r>
      <w:r w:rsidR="00006E84">
        <w:rPr>
          <w:rFonts w:ascii="Arial" w:hAnsi="Arial"/>
          <w:sz w:val="22"/>
          <w:szCs w:val="22"/>
        </w:rPr>
        <w:t xml:space="preserve">The US EPA’s </w:t>
      </w:r>
      <w:hyperlink r:id="rId32" w:history="1">
        <w:r w:rsidR="00006E84" w:rsidRPr="00006E84">
          <w:rPr>
            <w:rStyle w:val="Hyperlink"/>
            <w:rFonts w:ascii="Arial" w:hAnsi="Arial"/>
            <w:sz w:val="22"/>
            <w:szCs w:val="22"/>
          </w:rPr>
          <w:t>TRIM.FaTE</w:t>
        </w:r>
      </w:hyperlink>
      <w:r w:rsidR="00006E84">
        <w:rPr>
          <w:rFonts w:ascii="Arial" w:hAnsi="Arial"/>
          <w:sz w:val="22"/>
          <w:szCs w:val="22"/>
        </w:rPr>
        <w:t xml:space="preserve"> model</w:t>
      </w:r>
      <w:r w:rsidR="0020774A">
        <w:rPr>
          <w:rFonts w:ascii="Arial" w:hAnsi="Arial"/>
          <w:sz w:val="22"/>
          <w:szCs w:val="22"/>
        </w:rPr>
        <w:t xml:space="preserve"> is an example of a fate and transport model with an extensive level of peer review.  It estimates environmental fate, transport, and exposure to generate estimated </w:t>
      </w:r>
      <w:r w:rsidR="00F1422E">
        <w:rPr>
          <w:rFonts w:ascii="Arial" w:hAnsi="Arial"/>
          <w:sz w:val="22"/>
          <w:szCs w:val="22"/>
        </w:rPr>
        <w:t xml:space="preserve">chemical </w:t>
      </w:r>
      <w:r w:rsidR="0020774A">
        <w:rPr>
          <w:rFonts w:ascii="Arial" w:hAnsi="Arial"/>
          <w:sz w:val="22"/>
          <w:szCs w:val="22"/>
        </w:rPr>
        <w:t xml:space="preserve">concentrations </w:t>
      </w:r>
      <w:r w:rsidR="002D5C01">
        <w:rPr>
          <w:rFonts w:ascii="Arial" w:hAnsi="Arial"/>
          <w:sz w:val="22"/>
          <w:szCs w:val="22"/>
        </w:rPr>
        <w:t>in media as well as biota</w:t>
      </w:r>
      <w:r w:rsidR="0020774A">
        <w:rPr>
          <w:rFonts w:ascii="Arial" w:hAnsi="Arial"/>
          <w:sz w:val="22"/>
          <w:szCs w:val="22"/>
        </w:rPr>
        <w:t>.</w:t>
      </w:r>
    </w:p>
    <w:p w14:paraId="4C29A32E" w14:textId="77777777" w:rsidR="00692DB8" w:rsidRPr="007423F3" w:rsidRDefault="00692DB8" w:rsidP="00B9194D">
      <w:pPr>
        <w:jc w:val="both"/>
        <w:rPr>
          <w:rFonts w:ascii="Arial" w:hAnsi="Arial"/>
          <w:sz w:val="22"/>
          <w:szCs w:val="22"/>
          <w:highlight w:val="yellow"/>
          <w:u w:val="single"/>
        </w:rPr>
      </w:pPr>
    </w:p>
    <w:p w14:paraId="7465F3D3" w14:textId="77777777" w:rsidR="00692DB8" w:rsidRDefault="00692DB8" w:rsidP="00B9194D">
      <w:pPr>
        <w:jc w:val="both"/>
        <w:rPr>
          <w:rFonts w:ascii="Arial" w:hAnsi="Arial"/>
          <w:sz w:val="22"/>
          <w:szCs w:val="22"/>
          <w:u w:val="single"/>
        </w:rPr>
      </w:pPr>
      <w:r w:rsidRPr="00336613">
        <w:rPr>
          <w:rFonts w:ascii="Arial" w:hAnsi="Arial"/>
          <w:sz w:val="22"/>
          <w:szCs w:val="22"/>
          <w:u w:val="single"/>
        </w:rPr>
        <w:t>3.5.2 Bioaccumulation/Food Web Modeling</w:t>
      </w:r>
    </w:p>
    <w:p w14:paraId="0647D6DF" w14:textId="77777777" w:rsidR="00B9194D" w:rsidRDefault="00B9194D" w:rsidP="00B9194D">
      <w:pPr>
        <w:jc w:val="both"/>
        <w:rPr>
          <w:rFonts w:ascii="Arial" w:hAnsi="Arial"/>
          <w:sz w:val="22"/>
          <w:szCs w:val="22"/>
          <w:u w:val="single"/>
        </w:rPr>
      </w:pPr>
    </w:p>
    <w:p w14:paraId="0D0AEE2D" w14:textId="77777777" w:rsidR="00B9194D" w:rsidRDefault="00B9194D" w:rsidP="00B9194D">
      <w:pPr>
        <w:jc w:val="both"/>
        <w:rPr>
          <w:rFonts w:ascii="Arial" w:hAnsi="Arial"/>
          <w:sz w:val="22"/>
          <w:szCs w:val="22"/>
        </w:rPr>
      </w:pPr>
      <w:r>
        <w:rPr>
          <w:rFonts w:ascii="Arial" w:hAnsi="Arial"/>
          <w:sz w:val="22"/>
          <w:szCs w:val="22"/>
        </w:rPr>
        <w:tab/>
        <w:t xml:space="preserve">Food web and bioaccumulation models quantify the transfer of contaminants between media from direct contact and food ingestion.  The model estimates exposure by multiplying chemical concentrations in food items and abiotic media by species-specific intake rates. </w:t>
      </w:r>
      <w:r w:rsidR="0013272B">
        <w:rPr>
          <w:rFonts w:ascii="Arial" w:hAnsi="Arial"/>
          <w:sz w:val="22"/>
          <w:szCs w:val="22"/>
        </w:rPr>
        <w:t xml:space="preserve"> Equations for the estimation of chemical concentrations in media and biota are </w:t>
      </w:r>
      <w:r w:rsidR="005F0F05">
        <w:rPr>
          <w:rFonts w:ascii="Arial" w:hAnsi="Arial"/>
          <w:sz w:val="22"/>
          <w:szCs w:val="22"/>
        </w:rPr>
        <w:t>given</w:t>
      </w:r>
      <w:r w:rsidR="0013272B">
        <w:rPr>
          <w:rFonts w:ascii="Arial" w:hAnsi="Arial"/>
          <w:sz w:val="22"/>
          <w:szCs w:val="22"/>
        </w:rPr>
        <w:t xml:space="preserve"> below.</w:t>
      </w:r>
    </w:p>
    <w:p w14:paraId="775FDA8F" w14:textId="77777777" w:rsidR="0013272B" w:rsidRDefault="0013272B" w:rsidP="00B9194D">
      <w:pPr>
        <w:jc w:val="both"/>
        <w:rPr>
          <w:rFonts w:ascii="Arial" w:hAnsi="Arial"/>
          <w:sz w:val="22"/>
          <w:szCs w:val="22"/>
        </w:rPr>
      </w:pPr>
    </w:p>
    <w:p w14:paraId="599C0C86" w14:textId="3AADB3B0" w:rsidR="00C93660" w:rsidRDefault="00CB3ECB" w:rsidP="00CB3ECB">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Equation 1: Calculation for the contaminant of potential ecological concern (</w:t>
      </w:r>
      <w:r w:rsidR="00C93660">
        <w:rPr>
          <w:rFonts w:ascii="Arial" w:hAnsi="Arial"/>
          <w:sz w:val="22"/>
          <w:szCs w:val="22"/>
        </w:rPr>
        <w:t>CO</w:t>
      </w:r>
      <w:r>
        <w:rPr>
          <w:rFonts w:ascii="Arial" w:hAnsi="Arial"/>
          <w:sz w:val="22"/>
          <w:szCs w:val="22"/>
        </w:rPr>
        <w:t>PE</w:t>
      </w:r>
      <w:r w:rsidR="00C93660">
        <w:rPr>
          <w:rFonts w:ascii="Arial" w:hAnsi="Arial"/>
          <w:sz w:val="22"/>
          <w:szCs w:val="22"/>
        </w:rPr>
        <w:t>C</w:t>
      </w:r>
      <w:r>
        <w:rPr>
          <w:rFonts w:ascii="Arial" w:hAnsi="Arial"/>
          <w:sz w:val="22"/>
          <w:szCs w:val="22"/>
        </w:rPr>
        <w:t>)</w:t>
      </w:r>
      <w:r w:rsidR="00C93660">
        <w:rPr>
          <w:rFonts w:ascii="Arial" w:hAnsi="Arial"/>
          <w:sz w:val="22"/>
          <w:szCs w:val="22"/>
        </w:rPr>
        <w:t xml:space="preserve"> concentration in benthic invertebrate</w:t>
      </w:r>
      <w:r w:rsidR="00CB2060">
        <w:rPr>
          <w:rFonts w:ascii="Arial" w:hAnsi="Arial"/>
          <w:sz w:val="22"/>
          <w:szCs w:val="22"/>
        </w:rPr>
        <w:t>s</w:t>
      </w:r>
      <w:r w:rsidR="00C93660">
        <w:rPr>
          <w:rFonts w:ascii="Arial" w:hAnsi="Arial"/>
          <w:sz w:val="22"/>
          <w:szCs w:val="22"/>
        </w:rPr>
        <w:t xml:space="preserve"> (US EPA, 1999):</w:t>
      </w:r>
    </w:p>
    <w:p w14:paraId="24F144C1" w14:textId="77777777" w:rsidR="009B3BC1" w:rsidRDefault="009B3BC1" w:rsidP="00CB3ECB">
      <w:pPr>
        <w:pBdr>
          <w:top w:val="single" w:sz="4" w:space="1" w:color="auto"/>
          <w:left w:val="single" w:sz="4" w:space="4" w:color="auto"/>
          <w:bottom w:val="single" w:sz="4" w:space="1" w:color="auto"/>
          <w:right w:val="single" w:sz="4" w:space="4" w:color="auto"/>
        </w:pBdr>
        <w:jc w:val="both"/>
        <w:rPr>
          <w:rFonts w:ascii="Arial" w:hAnsi="Arial"/>
          <w:sz w:val="22"/>
          <w:szCs w:val="22"/>
        </w:rPr>
      </w:pPr>
    </w:p>
    <w:p w14:paraId="3E646DE2" w14:textId="69AE2A5C" w:rsidR="00C93660" w:rsidRPr="009B3BC1" w:rsidRDefault="00B723ED" w:rsidP="00CB3ECB">
      <w:pPr>
        <w:pBdr>
          <w:top w:val="single" w:sz="4" w:space="1" w:color="auto"/>
          <w:left w:val="single" w:sz="4" w:space="4" w:color="auto"/>
          <w:bottom w:val="single" w:sz="4" w:space="1" w:color="auto"/>
          <w:right w:val="single" w:sz="4" w:space="4" w:color="auto"/>
        </w:pBdr>
        <w:jc w:val="both"/>
        <w:rPr>
          <w:rFonts w:ascii="Arial" w:hAnsi="Arial"/>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I</m:t>
              </m:r>
            </m:sub>
          </m:sSub>
          <m:r>
            <w:rPr>
              <w:rFonts w:ascii="Cambria Math" w:hAnsi="Cambria Math"/>
              <w:sz w:val="22"/>
              <w:szCs w:val="22"/>
            </w:rPr>
            <m:t xml:space="preserve"> =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IW</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BCF</m:t>
              </m:r>
            </m:e>
            <m:sub>
              <m:r>
                <w:rPr>
                  <w:rFonts w:ascii="Cambria Math" w:hAnsi="Cambria Math"/>
                  <w:sz w:val="22"/>
                  <w:szCs w:val="22"/>
                </w:rPr>
                <m:t>WI</m:t>
              </m:r>
            </m:sub>
          </m:sSub>
        </m:oMath>
      </m:oMathPara>
    </w:p>
    <w:p w14:paraId="56E75B01" w14:textId="77777777" w:rsidR="009B3BC1" w:rsidRDefault="009B3BC1" w:rsidP="00CB3ECB">
      <w:pPr>
        <w:pBdr>
          <w:top w:val="single" w:sz="4" w:space="1" w:color="auto"/>
          <w:left w:val="single" w:sz="4" w:space="4" w:color="auto"/>
          <w:bottom w:val="single" w:sz="4" w:space="1" w:color="auto"/>
          <w:right w:val="single" w:sz="4" w:space="4" w:color="auto"/>
        </w:pBdr>
        <w:jc w:val="both"/>
        <w:rPr>
          <w:rFonts w:ascii="Arial" w:hAnsi="Arial"/>
          <w:sz w:val="22"/>
          <w:szCs w:val="22"/>
        </w:rPr>
      </w:pPr>
    </w:p>
    <w:p w14:paraId="049B2CBA" w14:textId="77777777" w:rsidR="009B3BC1" w:rsidRDefault="009B3BC1" w:rsidP="00CB3ECB">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where:</w:t>
      </w:r>
    </w:p>
    <w:p w14:paraId="1C649782" w14:textId="0C3E83C5" w:rsidR="009B3BC1" w:rsidRDefault="009B3BC1" w:rsidP="00CB3ECB">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C</w:t>
      </w:r>
      <w:r>
        <w:rPr>
          <w:rFonts w:ascii="Arial" w:hAnsi="Arial"/>
          <w:sz w:val="22"/>
          <w:szCs w:val="22"/>
          <w:vertAlign w:val="subscript"/>
        </w:rPr>
        <w:t>I</w:t>
      </w:r>
      <w:r>
        <w:rPr>
          <w:rFonts w:ascii="Arial" w:hAnsi="Arial"/>
          <w:sz w:val="22"/>
          <w:szCs w:val="22"/>
        </w:rPr>
        <w:t xml:space="preserve"> </w:t>
      </w:r>
      <w:r w:rsidR="00CB3ECB">
        <w:rPr>
          <w:rFonts w:ascii="Arial" w:hAnsi="Arial"/>
          <w:sz w:val="22"/>
          <w:szCs w:val="22"/>
        </w:rPr>
        <w:t xml:space="preserve">    </w:t>
      </w:r>
      <w:r w:rsidR="00CB3ECB">
        <w:rPr>
          <w:rFonts w:ascii="Arial" w:hAnsi="Arial"/>
          <w:sz w:val="22"/>
          <w:szCs w:val="22"/>
        </w:rPr>
        <w:tab/>
      </w:r>
      <w:r>
        <w:rPr>
          <w:rFonts w:ascii="Arial" w:hAnsi="Arial"/>
          <w:sz w:val="22"/>
          <w:szCs w:val="22"/>
        </w:rPr>
        <w:t>= COPEC concentration in benthic invertebrate</w:t>
      </w:r>
      <w:r w:rsidR="00826B7D">
        <w:rPr>
          <w:rFonts w:ascii="Arial" w:hAnsi="Arial"/>
          <w:sz w:val="22"/>
          <w:szCs w:val="22"/>
        </w:rPr>
        <w:t xml:space="preserve"> (mg/kg)</w:t>
      </w:r>
    </w:p>
    <w:p w14:paraId="6BF88F7A" w14:textId="5551CEB1" w:rsidR="00CB3ECB" w:rsidRDefault="00CB3ECB" w:rsidP="00CB3ECB">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C</w:t>
      </w:r>
      <w:r>
        <w:rPr>
          <w:rFonts w:ascii="Arial" w:hAnsi="Arial"/>
          <w:sz w:val="22"/>
          <w:szCs w:val="22"/>
          <w:vertAlign w:val="subscript"/>
        </w:rPr>
        <w:t>IW</w:t>
      </w:r>
      <w:r>
        <w:rPr>
          <w:rFonts w:ascii="Arial" w:hAnsi="Arial"/>
          <w:sz w:val="22"/>
          <w:szCs w:val="22"/>
        </w:rPr>
        <w:t xml:space="preserve">    </w:t>
      </w:r>
      <w:r>
        <w:rPr>
          <w:rFonts w:ascii="Arial" w:hAnsi="Arial"/>
          <w:sz w:val="22"/>
          <w:szCs w:val="22"/>
        </w:rPr>
        <w:tab/>
        <w:t>= COPEC concentration in interstitial water</w:t>
      </w:r>
      <w:r w:rsidR="00826B7D">
        <w:rPr>
          <w:rFonts w:ascii="Arial" w:hAnsi="Arial"/>
          <w:sz w:val="22"/>
          <w:szCs w:val="22"/>
        </w:rPr>
        <w:t xml:space="preserve"> (mg/L)</w:t>
      </w:r>
    </w:p>
    <w:p w14:paraId="4DB28642" w14:textId="3E7349FF" w:rsidR="00CB3ECB" w:rsidRDefault="00CB3ECB" w:rsidP="00CB3ECB">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BCF</w:t>
      </w:r>
      <w:r>
        <w:rPr>
          <w:rFonts w:ascii="Arial" w:hAnsi="Arial"/>
          <w:sz w:val="22"/>
          <w:szCs w:val="22"/>
          <w:vertAlign w:val="subscript"/>
        </w:rPr>
        <w:t>WI</w:t>
      </w:r>
      <w:r>
        <w:rPr>
          <w:rFonts w:ascii="Arial" w:hAnsi="Arial"/>
          <w:sz w:val="22"/>
          <w:szCs w:val="22"/>
        </w:rPr>
        <w:t xml:space="preserve"> </w:t>
      </w:r>
      <w:r>
        <w:rPr>
          <w:rFonts w:ascii="Arial" w:hAnsi="Arial"/>
          <w:sz w:val="22"/>
          <w:szCs w:val="22"/>
        </w:rPr>
        <w:tab/>
        <w:t xml:space="preserve">= Water-to-invertebrate bioconcentration factor </w:t>
      </w:r>
      <w:r w:rsidR="00826B7D">
        <w:rPr>
          <w:rFonts w:ascii="Arial" w:hAnsi="Arial"/>
          <w:sz w:val="22"/>
          <w:szCs w:val="22"/>
        </w:rPr>
        <w:t>(L/kg)</w:t>
      </w:r>
    </w:p>
    <w:p w14:paraId="55799051" w14:textId="77777777" w:rsidR="00CB3ECB" w:rsidRDefault="00CB3ECB" w:rsidP="00B9194D">
      <w:pPr>
        <w:jc w:val="both"/>
        <w:rPr>
          <w:rFonts w:ascii="Arial" w:hAnsi="Arial"/>
          <w:sz w:val="22"/>
          <w:szCs w:val="22"/>
        </w:rPr>
      </w:pPr>
    </w:p>
    <w:p w14:paraId="08A8DF39" w14:textId="77777777" w:rsidR="00BF4806" w:rsidRDefault="00BF4806" w:rsidP="00B9194D">
      <w:pPr>
        <w:jc w:val="both"/>
        <w:rPr>
          <w:rFonts w:ascii="Arial" w:hAnsi="Arial"/>
          <w:sz w:val="22"/>
          <w:szCs w:val="22"/>
        </w:rPr>
      </w:pPr>
    </w:p>
    <w:p w14:paraId="33A25236" w14:textId="2C1AC68B" w:rsidR="00CB3ECB" w:rsidRDefault="00CB3ECB" w:rsidP="00826B7D">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lastRenderedPageBreak/>
        <w:t xml:space="preserve">Equation 2: Calculation of a COPEC concentration in interstitial water from soil </w:t>
      </w:r>
      <w:r w:rsidR="00826B7D">
        <w:rPr>
          <w:rFonts w:ascii="Arial" w:hAnsi="Arial"/>
          <w:sz w:val="22"/>
          <w:szCs w:val="22"/>
        </w:rPr>
        <w:t xml:space="preserve">or sediment </w:t>
      </w:r>
      <w:r>
        <w:rPr>
          <w:rFonts w:ascii="Arial" w:hAnsi="Arial"/>
          <w:sz w:val="22"/>
          <w:szCs w:val="22"/>
        </w:rPr>
        <w:t>(US EPA, 1999):</w:t>
      </w:r>
    </w:p>
    <w:p w14:paraId="12C6CC27" w14:textId="77777777" w:rsidR="0036286D" w:rsidRDefault="0036286D" w:rsidP="00826B7D">
      <w:pPr>
        <w:pBdr>
          <w:top w:val="single" w:sz="4" w:space="1" w:color="auto"/>
          <w:left w:val="single" w:sz="4" w:space="4" w:color="auto"/>
          <w:bottom w:val="single" w:sz="4" w:space="1" w:color="auto"/>
          <w:right w:val="single" w:sz="4" w:space="4" w:color="auto"/>
        </w:pBdr>
        <w:jc w:val="both"/>
        <w:rPr>
          <w:rFonts w:ascii="Arial" w:hAnsi="Arial"/>
          <w:sz w:val="22"/>
          <w:szCs w:val="22"/>
        </w:rPr>
      </w:pPr>
    </w:p>
    <w:p w14:paraId="6F92A7A4" w14:textId="6D4793CF" w:rsidR="0036286D" w:rsidRPr="00826B7D" w:rsidRDefault="00B723ED" w:rsidP="00826B7D">
      <w:pPr>
        <w:pBdr>
          <w:top w:val="single" w:sz="4" w:space="1" w:color="auto"/>
          <w:left w:val="single" w:sz="4" w:space="4" w:color="auto"/>
          <w:bottom w:val="single" w:sz="4" w:space="1" w:color="auto"/>
          <w:right w:val="single" w:sz="4" w:space="4" w:color="auto"/>
        </w:pBdr>
        <w:jc w:val="both"/>
        <w:rPr>
          <w:rFonts w:ascii="Arial" w:hAnsi="Arial"/>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IW</m:t>
              </m:r>
            </m:sub>
          </m:sSub>
          <m:r>
            <w:rPr>
              <w:rFonts w:ascii="Cambria Math" w:hAnsi="Cambria Math"/>
              <w:sz w:val="22"/>
              <w:szCs w:val="22"/>
            </w:rPr>
            <m:t xml:space="preserve"> =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S</m:t>
                  </m:r>
                </m:sub>
              </m:sSub>
            </m:num>
            <m:den>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oc</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oc</m:t>
                  </m:r>
                </m:sub>
              </m:sSub>
            </m:den>
          </m:f>
        </m:oMath>
      </m:oMathPara>
    </w:p>
    <w:p w14:paraId="6F63DAE3" w14:textId="77777777" w:rsidR="0036286D" w:rsidRDefault="0036286D" w:rsidP="00826B7D">
      <w:pPr>
        <w:pBdr>
          <w:top w:val="single" w:sz="4" w:space="1" w:color="auto"/>
          <w:left w:val="single" w:sz="4" w:space="4" w:color="auto"/>
          <w:bottom w:val="single" w:sz="4" w:space="1" w:color="auto"/>
          <w:right w:val="single" w:sz="4" w:space="4" w:color="auto"/>
        </w:pBdr>
        <w:jc w:val="both"/>
        <w:rPr>
          <w:rFonts w:ascii="Arial" w:hAnsi="Arial"/>
          <w:sz w:val="22"/>
          <w:szCs w:val="22"/>
        </w:rPr>
      </w:pPr>
    </w:p>
    <w:p w14:paraId="474265DA" w14:textId="5D238E96" w:rsidR="0036286D" w:rsidRDefault="0036286D" w:rsidP="00826B7D">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where:</w:t>
      </w:r>
    </w:p>
    <w:p w14:paraId="3821F7AB" w14:textId="67EA927A" w:rsidR="00826B7D" w:rsidRDefault="00826B7D" w:rsidP="00826B7D">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C</w:t>
      </w:r>
      <w:r>
        <w:rPr>
          <w:rFonts w:ascii="Arial" w:hAnsi="Arial"/>
          <w:sz w:val="22"/>
          <w:szCs w:val="22"/>
          <w:vertAlign w:val="subscript"/>
        </w:rPr>
        <w:t>IW</w:t>
      </w:r>
      <w:r>
        <w:rPr>
          <w:rFonts w:ascii="Arial" w:hAnsi="Arial"/>
          <w:sz w:val="22"/>
          <w:szCs w:val="22"/>
        </w:rPr>
        <w:t xml:space="preserve"> = COPEC concentration in interstitial water (mg/L)</w:t>
      </w:r>
    </w:p>
    <w:p w14:paraId="224290C7" w14:textId="54F058D2" w:rsidR="00826B7D" w:rsidRDefault="00826B7D" w:rsidP="00826B7D">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C</w:t>
      </w:r>
      <w:r w:rsidR="005E6D17">
        <w:rPr>
          <w:rFonts w:ascii="Arial" w:hAnsi="Arial"/>
          <w:sz w:val="22"/>
          <w:szCs w:val="22"/>
          <w:vertAlign w:val="subscript"/>
        </w:rPr>
        <w:t>S</w:t>
      </w:r>
      <w:r>
        <w:rPr>
          <w:rFonts w:ascii="Arial" w:hAnsi="Arial"/>
          <w:sz w:val="22"/>
          <w:szCs w:val="22"/>
        </w:rPr>
        <w:t xml:space="preserve"> </w:t>
      </w:r>
      <w:r w:rsidR="00A6316E">
        <w:rPr>
          <w:rFonts w:ascii="Arial" w:hAnsi="Arial"/>
          <w:sz w:val="22"/>
          <w:szCs w:val="22"/>
        </w:rPr>
        <w:t xml:space="preserve"> </w:t>
      </w:r>
      <w:r>
        <w:rPr>
          <w:rFonts w:ascii="Arial" w:hAnsi="Arial"/>
          <w:sz w:val="22"/>
          <w:szCs w:val="22"/>
        </w:rPr>
        <w:t>= COPEC concentration in soil or sediment (mg/kg)</w:t>
      </w:r>
    </w:p>
    <w:p w14:paraId="1A3F7AB2" w14:textId="7C07A6F1" w:rsidR="00826B7D" w:rsidRDefault="00826B7D" w:rsidP="00826B7D">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f</w:t>
      </w:r>
      <w:r>
        <w:rPr>
          <w:rFonts w:ascii="Arial" w:hAnsi="Arial"/>
          <w:sz w:val="22"/>
          <w:szCs w:val="22"/>
          <w:vertAlign w:val="subscript"/>
        </w:rPr>
        <w:t>oc</w:t>
      </w:r>
      <w:r>
        <w:rPr>
          <w:rFonts w:ascii="Arial" w:hAnsi="Arial"/>
          <w:sz w:val="22"/>
          <w:szCs w:val="22"/>
        </w:rPr>
        <w:t xml:space="preserve"> </w:t>
      </w:r>
      <w:r w:rsidR="00A6316E">
        <w:rPr>
          <w:rFonts w:ascii="Arial" w:hAnsi="Arial"/>
          <w:sz w:val="22"/>
          <w:szCs w:val="22"/>
        </w:rPr>
        <w:t xml:space="preserve">  </w:t>
      </w:r>
      <w:r>
        <w:rPr>
          <w:rFonts w:ascii="Arial" w:hAnsi="Arial"/>
          <w:sz w:val="22"/>
          <w:szCs w:val="22"/>
        </w:rPr>
        <w:t xml:space="preserve">= </w:t>
      </w:r>
      <w:r w:rsidR="000D1330">
        <w:rPr>
          <w:rFonts w:ascii="Arial" w:hAnsi="Arial"/>
          <w:sz w:val="22"/>
          <w:szCs w:val="22"/>
        </w:rPr>
        <w:t>F</w:t>
      </w:r>
      <w:r>
        <w:rPr>
          <w:rFonts w:ascii="Arial" w:hAnsi="Arial"/>
          <w:sz w:val="22"/>
          <w:szCs w:val="22"/>
        </w:rPr>
        <w:t>raction of organic carbon in soil or sediment (unitless)</w:t>
      </w:r>
    </w:p>
    <w:p w14:paraId="5D4C5A23" w14:textId="2903CFAC" w:rsidR="00826B7D" w:rsidRPr="00826B7D" w:rsidRDefault="00826B7D" w:rsidP="00826B7D">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K</w:t>
      </w:r>
      <w:r>
        <w:rPr>
          <w:rFonts w:ascii="Arial" w:hAnsi="Arial"/>
          <w:sz w:val="22"/>
          <w:szCs w:val="22"/>
          <w:vertAlign w:val="subscript"/>
        </w:rPr>
        <w:t>oc</w:t>
      </w:r>
      <w:r>
        <w:rPr>
          <w:rFonts w:ascii="Arial" w:hAnsi="Arial"/>
          <w:sz w:val="22"/>
          <w:szCs w:val="22"/>
        </w:rPr>
        <w:t xml:space="preserve"> </w:t>
      </w:r>
      <w:r w:rsidR="00A6316E">
        <w:rPr>
          <w:rFonts w:ascii="Arial" w:hAnsi="Arial"/>
          <w:sz w:val="22"/>
          <w:szCs w:val="22"/>
        </w:rPr>
        <w:t xml:space="preserve"> </w:t>
      </w:r>
      <w:r>
        <w:rPr>
          <w:rFonts w:ascii="Arial" w:hAnsi="Arial"/>
          <w:sz w:val="22"/>
          <w:szCs w:val="22"/>
        </w:rPr>
        <w:t xml:space="preserve">= </w:t>
      </w:r>
      <w:r w:rsidR="000D1330">
        <w:rPr>
          <w:rFonts w:ascii="Arial" w:hAnsi="Arial"/>
          <w:sz w:val="22"/>
          <w:szCs w:val="22"/>
        </w:rPr>
        <w:t>O</w:t>
      </w:r>
      <w:r>
        <w:rPr>
          <w:rFonts w:ascii="Arial" w:hAnsi="Arial"/>
          <w:sz w:val="22"/>
          <w:szCs w:val="22"/>
        </w:rPr>
        <w:t>rganic carbon partitioning coefficient (L/kg)</w:t>
      </w:r>
    </w:p>
    <w:p w14:paraId="57C49DAB" w14:textId="77777777" w:rsidR="00A6316E" w:rsidRDefault="00A6316E" w:rsidP="00B9194D">
      <w:pPr>
        <w:jc w:val="both"/>
        <w:rPr>
          <w:rFonts w:ascii="Arial" w:hAnsi="Arial"/>
          <w:sz w:val="22"/>
          <w:szCs w:val="22"/>
        </w:rPr>
      </w:pPr>
    </w:p>
    <w:p w14:paraId="0A5A22A4" w14:textId="77777777" w:rsidR="00BF4806" w:rsidRDefault="00BF4806" w:rsidP="00B9194D">
      <w:pPr>
        <w:jc w:val="both"/>
        <w:rPr>
          <w:rFonts w:ascii="Arial" w:hAnsi="Arial"/>
          <w:sz w:val="22"/>
          <w:szCs w:val="22"/>
        </w:rPr>
      </w:pPr>
    </w:p>
    <w:p w14:paraId="72A6B2D1" w14:textId="77777777" w:rsidR="00BF4806" w:rsidRDefault="00BF4806" w:rsidP="00B9194D">
      <w:pPr>
        <w:jc w:val="both"/>
        <w:rPr>
          <w:rFonts w:ascii="Arial" w:hAnsi="Arial"/>
          <w:sz w:val="22"/>
          <w:szCs w:val="22"/>
        </w:rPr>
      </w:pPr>
    </w:p>
    <w:p w14:paraId="3EEFA9E5" w14:textId="77777777" w:rsidR="00BF4806" w:rsidRDefault="00BF4806" w:rsidP="00B9194D">
      <w:pPr>
        <w:jc w:val="both"/>
        <w:rPr>
          <w:rFonts w:ascii="Arial" w:hAnsi="Arial"/>
          <w:sz w:val="22"/>
          <w:szCs w:val="22"/>
        </w:rPr>
      </w:pPr>
    </w:p>
    <w:p w14:paraId="2CE18882" w14:textId="06DEAED6" w:rsidR="00A6316E" w:rsidRDefault="00A6316E" w:rsidP="00123FFF">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 xml:space="preserve">Equation 3: </w:t>
      </w:r>
      <w:r w:rsidR="005E6D17">
        <w:rPr>
          <w:rFonts w:ascii="Arial" w:hAnsi="Arial"/>
          <w:sz w:val="22"/>
          <w:szCs w:val="22"/>
        </w:rPr>
        <w:t>Terrestrial plant concentration due to root uptake (OEPA, 2008; US EPA, 1999)</w:t>
      </w:r>
      <w:r w:rsidR="00EA2402">
        <w:rPr>
          <w:rFonts w:ascii="Arial" w:hAnsi="Arial"/>
          <w:sz w:val="22"/>
          <w:szCs w:val="22"/>
        </w:rPr>
        <w:t>:</w:t>
      </w:r>
    </w:p>
    <w:p w14:paraId="7DE4E407" w14:textId="77777777" w:rsidR="000D1330" w:rsidRDefault="000D1330" w:rsidP="00123FFF">
      <w:pPr>
        <w:pBdr>
          <w:top w:val="single" w:sz="4" w:space="1" w:color="auto"/>
          <w:left w:val="single" w:sz="4" w:space="4" w:color="auto"/>
          <w:bottom w:val="single" w:sz="4" w:space="1" w:color="auto"/>
          <w:right w:val="single" w:sz="4" w:space="4" w:color="auto"/>
        </w:pBdr>
        <w:jc w:val="both"/>
        <w:rPr>
          <w:rFonts w:ascii="Arial" w:hAnsi="Arial"/>
          <w:sz w:val="22"/>
          <w:szCs w:val="22"/>
        </w:rPr>
      </w:pPr>
    </w:p>
    <w:p w14:paraId="5802ACC8" w14:textId="070D8A93" w:rsidR="005E6D17" w:rsidRPr="00123FFF" w:rsidRDefault="00123FFF" w:rsidP="00123FFF">
      <w:pPr>
        <w:pBdr>
          <w:top w:val="single" w:sz="4" w:space="1" w:color="auto"/>
          <w:left w:val="single" w:sz="4" w:space="4" w:color="auto"/>
          <w:bottom w:val="single" w:sz="4" w:space="1" w:color="auto"/>
          <w:right w:val="single" w:sz="4" w:space="4" w:color="auto"/>
        </w:pBdr>
        <w:jc w:val="both"/>
        <w:rPr>
          <w:rFonts w:ascii="Arial" w:hAnsi="Arial"/>
          <w:sz w:val="22"/>
          <w:szCs w:val="22"/>
        </w:rPr>
      </w:pPr>
      <m:oMathPara>
        <m:oMathParaPr>
          <m:jc m:val="center"/>
        </m:oMathParaP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TP</m:t>
              </m:r>
            </m:sub>
          </m:sSub>
          <m:r>
            <w:rPr>
              <w:rFonts w:ascii="Cambria Math" w:hAnsi="Cambria Math"/>
              <w:sz w:val="22"/>
              <w:szCs w:val="22"/>
            </w:rPr>
            <m:t xml:space="preserve"> =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BCF</m:t>
              </m:r>
            </m:e>
            <m:sub>
              <m:r>
                <w:rPr>
                  <w:rFonts w:ascii="Cambria Math" w:hAnsi="Cambria Math"/>
                  <w:sz w:val="22"/>
                  <w:szCs w:val="22"/>
                </w:rPr>
                <m:t>TP</m:t>
              </m:r>
            </m:sub>
          </m:sSub>
          <m:r>
            <w:rPr>
              <w:rFonts w:ascii="Cambria Math" w:hAnsi="Cambria Math"/>
              <w:sz w:val="22"/>
              <w:szCs w:val="22"/>
            </w:rPr>
            <m:t xml:space="preserve">×CF                        for organics: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TP</m:t>
              </m:r>
            </m:sub>
          </m:sSub>
          <m:r>
            <w:rPr>
              <w:rFonts w:ascii="Cambria Math" w:hAnsi="Cambria Math"/>
              <w:sz w:val="22"/>
              <w:szCs w:val="22"/>
            </w:rPr>
            <m:t xml:space="preserve"> =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S</m:t>
              </m:r>
            </m:sub>
          </m:sSub>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1.588</m:t>
                      </m:r>
                    </m:sup>
                  </m:sSup>
                </m:num>
                <m:den>
                  <m:sSup>
                    <m:sSupPr>
                      <m:ctrlPr>
                        <w:rPr>
                          <w:rFonts w:ascii="Cambria Math" w:hAnsi="Cambria Math"/>
                          <w:i/>
                          <w:sz w:val="22"/>
                          <w:szCs w:val="22"/>
                        </w:rPr>
                      </m:ctrlPr>
                    </m:sSup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ow</m:t>
                          </m:r>
                        </m:sub>
                      </m:sSub>
                    </m:e>
                    <m:sup>
                      <m:r>
                        <w:rPr>
                          <w:rFonts w:ascii="Cambria Math" w:hAnsi="Cambria Math"/>
                          <w:sz w:val="22"/>
                          <w:szCs w:val="22"/>
                        </w:rPr>
                        <m:t>0.578</m:t>
                      </m:r>
                    </m:sup>
                  </m:sSup>
                </m:den>
              </m:f>
            </m:e>
          </m:d>
          <m:r>
            <w:rPr>
              <w:rFonts w:ascii="Cambria Math" w:hAnsi="Cambria Math"/>
              <w:sz w:val="22"/>
              <w:szCs w:val="22"/>
            </w:rPr>
            <m:t>×CF</m:t>
          </m:r>
        </m:oMath>
      </m:oMathPara>
    </w:p>
    <w:p w14:paraId="0D140F84" w14:textId="77777777" w:rsidR="008B3AF8" w:rsidRDefault="008B3AF8" w:rsidP="00123FFF">
      <w:pPr>
        <w:pBdr>
          <w:top w:val="single" w:sz="4" w:space="1" w:color="auto"/>
          <w:left w:val="single" w:sz="4" w:space="4" w:color="auto"/>
          <w:bottom w:val="single" w:sz="4" w:space="1" w:color="auto"/>
          <w:right w:val="single" w:sz="4" w:space="4" w:color="auto"/>
        </w:pBdr>
        <w:jc w:val="both"/>
        <w:rPr>
          <w:rFonts w:ascii="Arial" w:hAnsi="Arial"/>
          <w:sz w:val="22"/>
          <w:szCs w:val="22"/>
        </w:rPr>
      </w:pPr>
    </w:p>
    <w:p w14:paraId="55A3F313" w14:textId="59B19C76" w:rsidR="008B3AF8" w:rsidRDefault="008B3AF8" w:rsidP="00123FFF">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where:</w:t>
      </w:r>
    </w:p>
    <w:p w14:paraId="0DB0FB9E" w14:textId="7C9D7256" w:rsidR="008B3AF8" w:rsidRDefault="008B3AF8" w:rsidP="00123FFF">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C</w:t>
      </w:r>
      <w:r>
        <w:rPr>
          <w:rFonts w:ascii="Arial" w:hAnsi="Arial"/>
          <w:sz w:val="22"/>
          <w:szCs w:val="22"/>
          <w:vertAlign w:val="subscript"/>
        </w:rPr>
        <w:t>TP</w:t>
      </w:r>
      <w:r>
        <w:rPr>
          <w:rFonts w:ascii="Arial" w:hAnsi="Arial"/>
          <w:sz w:val="22"/>
          <w:szCs w:val="22"/>
        </w:rPr>
        <w:t xml:space="preserve"> </w:t>
      </w:r>
      <w:r w:rsidR="007F4F08">
        <w:rPr>
          <w:rFonts w:ascii="Arial" w:hAnsi="Arial"/>
          <w:sz w:val="22"/>
          <w:szCs w:val="22"/>
        </w:rPr>
        <w:tab/>
      </w:r>
      <w:r>
        <w:rPr>
          <w:rFonts w:ascii="Arial" w:hAnsi="Arial"/>
          <w:sz w:val="22"/>
          <w:szCs w:val="22"/>
        </w:rPr>
        <w:t xml:space="preserve">= </w:t>
      </w:r>
      <w:r w:rsidR="000D1330">
        <w:rPr>
          <w:rFonts w:ascii="Arial" w:hAnsi="Arial"/>
          <w:sz w:val="22"/>
          <w:szCs w:val="22"/>
        </w:rPr>
        <w:t>COPEC concentration in terrestrial plants (mg/kg)</w:t>
      </w:r>
    </w:p>
    <w:p w14:paraId="1242B521" w14:textId="3F3202AD" w:rsidR="000D1330" w:rsidRDefault="000D1330" w:rsidP="00123FFF">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C</w:t>
      </w:r>
      <w:r>
        <w:rPr>
          <w:rFonts w:ascii="Arial" w:hAnsi="Arial"/>
          <w:sz w:val="22"/>
          <w:szCs w:val="22"/>
          <w:vertAlign w:val="subscript"/>
        </w:rPr>
        <w:t>s</w:t>
      </w:r>
      <w:r>
        <w:rPr>
          <w:rFonts w:ascii="Arial" w:hAnsi="Arial"/>
          <w:sz w:val="22"/>
          <w:szCs w:val="22"/>
        </w:rPr>
        <w:t xml:space="preserve"> </w:t>
      </w:r>
      <w:r w:rsidR="007F4F08">
        <w:rPr>
          <w:rFonts w:ascii="Arial" w:hAnsi="Arial"/>
          <w:sz w:val="22"/>
          <w:szCs w:val="22"/>
        </w:rPr>
        <w:tab/>
      </w:r>
      <w:r>
        <w:rPr>
          <w:rFonts w:ascii="Arial" w:hAnsi="Arial"/>
          <w:sz w:val="22"/>
          <w:szCs w:val="22"/>
        </w:rPr>
        <w:t>= COPEC concentration in soil (mg/kg)</w:t>
      </w:r>
    </w:p>
    <w:p w14:paraId="6109C87B" w14:textId="1CE2ADCB" w:rsidR="000D1330" w:rsidRDefault="000D1330" w:rsidP="00123FFF">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BCF</w:t>
      </w:r>
      <w:r>
        <w:rPr>
          <w:rFonts w:ascii="Arial" w:hAnsi="Arial"/>
          <w:sz w:val="22"/>
          <w:szCs w:val="22"/>
          <w:vertAlign w:val="subscript"/>
        </w:rPr>
        <w:t>TP</w:t>
      </w:r>
      <w:r>
        <w:rPr>
          <w:rFonts w:ascii="Arial" w:hAnsi="Arial"/>
          <w:sz w:val="22"/>
          <w:szCs w:val="22"/>
        </w:rPr>
        <w:t xml:space="preserve"> </w:t>
      </w:r>
      <w:r w:rsidR="007F4F08">
        <w:rPr>
          <w:rFonts w:ascii="Arial" w:hAnsi="Arial"/>
          <w:sz w:val="22"/>
          <w:szCs w:val="22"/>
        </w:rPr>
        <w:tab/>
      </w:r>
      <w:r>
        <w:rPr>
          <w:rFonts w:ascii="Arial" w:hAnsi="Arial"/>
          <w:sz w:val="22"/>
          <w:szCs w:val="22"/>
        </w:rPr>
        <w:t>= Soil to plant bioconcentration factor (unitless)</w:t>
      </w:r>
    </w:p>
    <w:p w14:paraId="7755E2DA" w14:textId="3F383A57" w:rsidR="000D1330" w:rsidRPr="000D1330" w:rsidRDefault="000D1330" w:rsidP="00123FFF">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 xml:space="preserve">CF </w:t>
      </w:r>
      <w:r w:rsidR="007F4F08">
        <w:rPr>
          <w:rFonts w:ascii="Arial" w:hAnsi="Arial"/>
          <w:sz w:val="22"/>
          <w:szCs w:val="22"/>
        </w:rPr>
        <w:tab/>
      </w:r>
      <w:r>
        <w:rPr>
          <w:rFonts w:ascii="Arial" w:hAnsi="Arial"/>
          <w:sz w:val="22"/>
          <w:szCs w:val="22"/>
        </w:rPr>
        <w:t>= Dry weight to wet weight conversion factor (</w:t>
      </w:r>
      <w:r w:rsidR="007F4F08">
        <w:rPr>
          <w:rFonts w:ascii="Arial" w:hAnsi="Arial"/>
          <w:sz w:val="22"/>
          <w:szCs w:val="22"/>
        </w:rPr>
        <w:t>0.12</w:t>
      </w:r>
      <w:r>
        <w:rPr>
          <w:rFonts w:ascii="Arial" w:hAnsi="Arial"/>
          <w:sz w:val="22"/>
          <w:szCs w:val="22"/>
        </w:rPr>
        <w:t>)</w:t>
      </w:r>
    </w:p>
    <w:p w14:paraId="589630C1" w14:textId="6B22E110" w:rsidR="000D1330" w:rsidRPr="000D1330" w:rsidRDefault="000D1330" w:rsidP="00123FFF">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K</w:t>
      </w:r>
      <w:r>
        <w:rPr>
          <w:rFonts w:ascii="Arial" w:hAnsi="Arial"/>
          <w:sz w:val="22"/>
          <w:szCs w:val="22"/>
          <w:vertAlign w:val="subscript"/>
        </w:rPr>
        <w:t>ow</w:t>
      </w:r>
      <w:r>
        <w:rPr>
          <w:rFonts w:ascii="Arial" w:hAnsi="Arial"/>
          <w:sz w:val="22"/>
          <w:szCs w:val="22"/>
        </w:rPr>
        <w:t xml:space="preserve"> </w:t>
      </w:r>
      <w:r w:rsidR="007F4F08">
        <w:rPr>
          <w:rFonts w:ascii="Arial" w:hAnsi="Arial"/>
          <w:sz w:val="22"/>
          <w:szCs w:val="22"/>
        </w:rPr>
        <w:tab/>
      </w:r>
      <w:r>
        <w:rPr>
          <w:rFonts w:ascii="Arial" w:hAnsi="Arial"/>
          <w:sz w:val="22"/>
          <w:szCs w:val="22"/>
        </w:rPr>
        <w:t>= Octanol water partitioning coefficient (unitless)</w:t>
      </w:r>
    </w:p>
    <w:p w14:paraId="0DBB2677" w14:textId="77777777" w:rsidR="006C627C" w:rsidRDefault="006C627C" w:rsidP="00B9194D">
      <w:pPr>
        <w:jc w:val="both"/>
        <w:rPr>
          <w:rFonts w:ascii="Arial" w:hAnsi="Arial"/>
          <w:sz w:val="22"/>
          <w:szCs w:val="22"/>
        </w:rPr>
      </w:pPr>
    </w:p>
    <w:p w14:paraId="0B559880" w14:textId="77777777" w:rsidR="00BF4806" w:rsidRDefault="00BF4806" w:rsidP="00B9194D">
      <w:pPr>
        <w:jc w:val="both"/>
        <w:rPr>
          <w:rFonts w:ascii="Arial" w:hAnsi="Arial"/>
          <w:sz w:val="22"/>
          <w:szCs w:val="22"/>
        </w:rPr>
      </w:pPr>
    </w:p>
    <w:p w14:paraId="6DC825F6" w14:textId="77777777" w:rsidR="00BF4806" w:rsidRDefault="00BF4806" w:rsidP="00B9194D">
      <w:pPr>
        <w:jc w:val="both"/>
        <w:rPr>
          <w:rFonts w:ascii="Arial" w:hAnsi="Arial"/>
          <w:sz w:val="22"/>
          <w:szCs w:val="22"/>
        </w:rPr>
      </w:pPr>
    </w:p>
    <w:p w14:paraId="326548CD" w14:textId="77777777" w:rsidR="00BF4806" w:rsidRDefault="00BF4806" w:rsidP="00B9194D">
      <w:pPr>
        <w:jc w:val="both"/>
        <w:rPr>
          <w:rFonts w:ascii="Arial" w:hAnsi="Arial"/>
          <w:sz w:val="22"/>
          <w:szCs w:val="22"/>
        </w:rPr>
      </w:pPr>
    </w:p>
    <w:p w14:paraId="5FBF5881" w14:textId="27E5F560" w:rsidR="006C627C" w:rsidRDefault="00821187" w:rsidP="00EA2402">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 xml:space="preserve">Equation 4: </w:t>
      </w:r>
      <w:r w:rsidR="00A31FE7">
        <w:rPr>
          <w:rFonts w:ascii="Arial" w:hAnsi="Arial"/>
          <w:sz w:val="22"/>
          <w:szCs w:val="22"/>
        </w:rPr>
        <w:t>COPEC concentration in fish</w:t>
      </w:r>
      <w:r w:rsidR="00D519BE">
        <w:rPr>
          <w:rFonts w:ascii="Arial" w:hAnsi="Arial"/>
          <w:sz w:val="22"/>
          <w:szCs w:val="22"/>
        </w:rPr>
        <w:t xml:space="preserve"> (US EPA, 1999)</w:t>
      </w:r>
      <w:r w:rsidR="00EA2402">
        <w:rPr>
          <w:rFonts w:ascii="Arial" w:hAnsi="Arial"/>
          <w:sz w:val="22"/>
          <w:szCs w:val="22"/>
        </w:rPr>
        <w:t>:</w:t>
      </w:r>
    </w:p>
    <w:p w14:paraId="6317789B" w14:textId="77777777" w:rsidR="00A31FE7" w:rsidRDefault="00A31FE7" w:rsidP="00EA2402">
      <w:pPr>
        <w:pBdr>
          <w:top w:val="single" w:sz="4" w:space="1" w:color="auto"/>
          <w:left w:val="single" w:sz="4" w:space="4" w:color="auto"/>
          <w:bottom w:val="single" w:sz="4" w:space="1" w:color="auto"/>
          <w:right w:val="single" w:sz="4" w:space="4" w:color="auto"/>
        </w:pBdr>
        <w:jc w:val="both"/>
        <w:rPr>
          <w:rFonts w:ascii="Arial" w:hAnsi="Arial"/>
          <w:sz w:val="22"/>
          <w:szCs w:val="22"/>
        </w:rPr>
      </w:pPr>
    </w:p>
    <w:p w14:paraId="167AC271" w14:textId="1AAA4539" w:rsidR="00A31FE7" w:rsidRPr="00D519BE" w:rsidRDefault="00B723ED" w:rsidP="00EA2402">
      <w:pPr>
        <w:pBdr>
          <w:top w:val="single" w:sz="4" w:space="1" w:color="auto"/>
          <w:left w:val="single" w:sz="4" w:space="4" w:color="auto"/>
          <w:bottom w:val="single" w:sz="4" w:space="1" w:color="auto"/>
          <w:right w:val="single" w:sz="4" w:space="4" w:color="auto"/>
        </w:pBdr>
        <w:jc w:val="both"/>
        <w:rPr>
          <w:rFonts w:ascii="Arial" w:hAnsi="Arial"/>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F</m:t>
              </m:r>
            </m:sub>
          </m:sSub>
          <m:r>
            <w:rPr>
              <w:rFonts w:ascii="Cambria Math" w:hAnsi="Cambria Math"/>
              <w:sz w:val="22"/>
              <w:szCs w:val="22"/>
            </w:rPr>
            <m:t xml:space="preserve"> = </m:t>
          </m:r>
          <m:sSub>
            <m:sSubPr>
              <m:ctrlPr>
                <w:rPr>
                  <w:rFonts w:ascii="Cambria Math" w:hAnsi="Cambria Math"/>
                  <w:i/>
                  <w:sz w:val="22"/>
                  <w:szCs w:val="22"/>
                </w:rPr>
              </m:ctrlPr>
            </m:sSubPr>
            <m:e>
              <m:r>
                <w:rPr>
                  <w:rFonts w:ascii="Cambria Math" w:hAnsi="Cambria Math"/>
                  <w:sz w:val="22"/>
                  <w:szCs w:val="22"/>
                </w:rPr>
                <m:t>BCF</m:t>
              </m:r>
            </m:e>
            <m:sub>
              <m:r>
                <w:rPr>
                  <w:rFonts w:ascii="Cambria Math" w:hAnsi="Cambria Math"/>
                  <w:sz w:val="22"/>
                  <w:szCs w:val="22"/>
                </w:rPr>
                <m:t>F</m:t>
              </m:r>
            </m:sub>
          </m:sSub>
          <m:r>
            <w:rPr>
              <w:rFonts w:ascii="Cambria Math" w:hAnsi="Cambria Math"/>
              <w:sz w:val="22"/>
              <w:szCs w:val="22"/>
            </w:rPr>
            <m:t>×FCM×</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W</m:t>
              </m:r>
            </m:sub>
          </m:sSub>
        </m:oMath>
      </m:oMathPara>
    </w:p>
    <w:p w14:paraId="1E80BDCB" w14:textId="77777777" w:rsidR="00D519BE" w:rsidRDefault="00D519BE" w:rsidP="00EA2402">
      <w:pPr>
        <w:pBdr>
          <w:top w:val="single" w:sz="4" w:space="1" w:color="auto"/>
          <w:left w:val="single" w:sz="4" w:space="4" w:color="auto"/>
          <w:bottom w:val="single" w:sz="4" w:space="1" w:color="auto"/>
          <w:right w:val="single" w:sz="4" w:space="4" w:color="auto"/>
        </w:pBdr>
        <w:jc w:val="both"/>
        <w:rPr>
          <w:rFonts w:ascii="Arial" w:hAnsi="Arial"/>
          <w:sz w:val="22"/>
          <w:szCs w:val="22"/>
        </w:rPr>
      </w:pPr>
    </w:p>
    <w:p w14:paraId="4BFDE48B" w14:textId="3068314D" w:rsidR="00D519BE" w:rsidRDefault="00D519BE" w:rsidP="00EA2402">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where:</w:t>
      </w:r>
    </w:p>
    <w:p w14:paraId="6635937E" w14:textId="112E649E" w:rsidR="00D519BE" w:rsidRDefault="00D519BE" w:rsidP="00EA2402">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C</w:t>
      </w:r>
      <w:r>
        <w:rPr>
          <w:rFonts w:ascii="Arial" w:hAnsi="Arial"/>
          <w:sz w:val="22"/>
          <w:szCs w:val="22"/>
          <w:vertAlign w:val="subscript"/>
        </w:rPr>
        <w:t>F</w:t>
      </w:r>
      <w:r>
        <w:rPr>
          <w:rFonts w:ascii="Arial" w:hAnsi="Arial"/>
          <w:sz w:val="22"/>
          <w:szCs w:val="22"/>
        </w:rPr>
        <w:t xml:space="preserve"> </w:t>
      </w:r>
      <w:r w:rsidR="00EA2402">
        <w:rPr>
          <w:rFonts w:ascii="Arial" w:hAnsi="Arial"/>
          <w:sz w:val="22"/>
          <w:szCs w:val="22"/>
        </w:rPr>
        <w:tab/>
      </w:r>
      <w:r>
        <w:rPr>
          <w:rFonts w:ascii="Arial" w:hAnsi="Arial"/>
          <w:sz w:val="22"/>
          <w:szCs w:val="22"/>
        </w:rPr>
        <w:t>= COPEC concentration in fish</w:t>
      </w:r>
      <w:r w:rsidR="00A93672">
        <w:rPr>
          <w:rFonts w:ascii="Arial" w:hAnsi="Arial"/>
          <w:sz w:val="22"/>
          <w:szCs w:val="22"/>
        </w:rPr>
        <w:t xml:space="preserve"> (mg/kg)</w:t>
      </w:r>
    </w:p>
    <w:p w14:paraId="0D14F86A" w14:textId="3BD6AAC2" w:rsidR="00D519BE" w:rsidRDefault="00D519BE" w:rsidP="00EA2402">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BCF</w:t>
      </w:r>
      <w:r>
        <w:rPr>
          <w:rFonts w:ascii="Arial" w:hAnsi="Arial"/>
          <w:sz w:val="22"/>
          <w:szCs w:val="22"/>
          <w:vertAlign w:val="subscript"/>
        </w:rPr>
        <w:t>F</w:t>
      </w:r>
      <w:r>
        <w:rPr>
          <w:rFonts w:ascii="Arial" w:hAnsi="Arial"/>
          <w:sz w:val="22"/>
          <w:szCs w:val="22"/>
        </w:rPr>
        <w:t xml:space="preserve"> </w:t>
      </w:r>
      <w:r w:rsidR="00EA2402">
        <w:rPr>
          <w:rFonts w:ascii="Arial" w:hAnsi="Arial"/>
          <w:sz w:val="22"/>
          <w:szCs w:val="22"/>
        </w:rPr>
        <w:tab/>
      </w:r>
      <w:r>
        <w:rPr>
          <w:rFonts w:ascii="Arial" w:hAnsi="Arial"/>
          <w:sz w:val="22"/>
          <w:szCs w:val="22"/>
        </w:rPr>
        <w:t>= Water-to-fish bioconcentration factor (L/kg)</w:t>
      </w:r>
    </w:p>
    <w:p w14:paraId="10EE0917" w14:textId="54C92549" w:rsidR="00D519BE" w:rsidRDefault="00D519BE" w:rsidP="00EA2402">
      <w:pPr>
        <w:pBdr>
          <w:top w:val="single" w:sz="4" w:space="1" w:color="auto"/>
          <w:left w:val="single" w:sz="4" w:space="4" w:color="auto"/>
          <w:bottom w:val="single" w:sz="4" w:space="1" w:color="auto"/>
          <w:right w:val="single" w:sz="4" w:space="4" w:color="auto"/>
        </w:pBdr>
        <w:ind w:left="720" w:hanging="720"/>
        <w:jc w:val="both"/>
        <w:rPr>
          <w:rFonts w:ascii="Arial" w:hAnsi="Arial"/>
          <w:sz w:val="22"/>
          <w:szCs w:val="22"/>
        </w:rPr>
      </w:pPr>
      <w:r>
        <w:rPr>
          <w:rFonts w:ascii="Arial" w:hAnsi="Arial"/>
          <w:sz w:val="22"/>
          <w:szCs w:val="22"/>
        </w:rPr>
        <w:tab/>
      </w:r>
      <w:r w:rsidR="00EA2402">
        <w:rPr>
          <w:rFonts w:ascii="Arial" w:hAnsi="Arial"/>
          <w:sz w:val="22"/>
          <w:szCs w:val="22"/>
        </w:rPr>
        <w:t>FCM</w:t>
      </w:r>
      <w:r w:rsidR="00EA2402">
        <w:rPr>
          <w:rFonts w:ascii="Arial" w:hAnsi="Arial"/>
          <w:sz w:val="22"/>
          <w:szCs w:val="22"/>
        </w:rPr>
        <w:tab/>
        <w:t>= Food chain multiplier (unitless) (US EPA, 1999, Table 5-2).  The food chain multiplier for inorganics and the secondary trophic level (prey fish) is equal to 1</w:t>
      </w:r>
    </w:p>
    <w:p w14:paraId="7EE4034B" w14:textId="72ABC813" w:rsidR="00A93672" w:rsidRPr="00A93672" w:rsidRDefault="00A93672" w:rsidP="00EA2402">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C</w:t>
      </w:r>
      <w:r w:rsidR="00A439C1">
        <w:rPr>
          <w:rFonts w:ascii="Arial" w:hAnsi="Arial"/>
          <w:sz w:val="22"/>
          <w:szCs w:val="22"/>
          <w:vertAlign w:val="subscript"/>
        </w:rPr>
        <w:t>W</w:t>
      </w:r>
      <w:r>
        <w:rPr>
          <w:rFonts w:ascii="Arial" w:hAnsi="Arial"/>
          <w:sz w:val="22"/>
          <w:szCs w:val="22"/>
        </w:rPr>
        <w:t xml:space="preserve"> </w:t>
      </w:r>
      <w:r w:rsidR="00EA2402">
        <w:rPr>
          <w:rFonts w:ascii="Arial" w:hAnsi="Arial"/>
          <w:sz w:val="22"/>
          <w:szCs w:val="22"/>
        </w:rPr>
        <w:tab/>
      </w:r>
      <w:r>
        <w:rPr>
          <w:rFonts w:ascii="Arial" w:hAnsi="Arial"/>
          <w:sz w:val="22"/>
          <w:szCs w:val="22"/>
        </w:rPr>
        <w:t>= Dissolved COPEC concentration in water (mg/L)</w:t>
      </w:r>
    </w:p>
    <w:p w14:paraId="2D9B6F52" w14:textId="77777777" w:rsidR="000D07CF" w:rsidRDefault="000D07CF" w:rsidP="00B9194D">
      <w:pPr>
        <w:jc w:val="both"/>
        <w:rPr>
          <w:rFonts w:ascii="Arial" w:hAnsi="Arial"/>
          <w:sz w:val="22"/>
          <w:szCs w:val="22"/>
        </w:rPr>
      </w:pPr>
    </w:p>
    <w:p w14:paraId="51883545" w14:textId="77777777" w:rsidR="00BF4806" w:rsidRDefault="00BF4806" w:rsidP="00B9194D">
      <w:pPr>
        <w:jc w:val="both"/>
        <w:rPr>
          <w:rFonts w:ascii="Arial" w:hAnsi="Arial"/>
          <w:sz w:val="22"/>
          <w:szCs w:val="22"/>
        </w:rPr>
      </w:pPr>
    </w:p>
    <w:p w14:paraId="71706E4E" w14:textId="77777777" w:rsidR="00BF4806" w:rsidRDefault="00BF4806" w:rsidP="00B9194D">
      <w:pPr>
        <w:jc w:val="both"/>
        <w:rPr>
          <w:rFonts w:ascii="Arial" w:hAnsi="Arial"/>
          <w:sz w:val="22"/>
          <w:szCs w:val="22"/>
        </w:rPr>
      </w:pPr>
    </w:p>
    <w:p w14:paraId="0144A92A" w14:textId="77777777" w:rsidR="00BF4806" w:rsidRDefault="00BF4806" w:rsidP="00B9194D">
      <w:pPr>
        <w:jc w:val="both"/>
        <w:rPr>
          <w:rFonts w:ascii="Arial" w:hAnsi="Arial"/>
          <w:sz w:val="22"/>
          <w:szCs w:val="22"/>
        </w:rPr>
      </w:pPr>
    </w:p>
    <w:p w14:paraId="421A696E" w14:textId="77777777" w:rsidR="00BF4806" w:rsidRDefault="00BF4806" w:rsidP="00B9194D">
      <w:pPr>
        <w:jc w:val="both"/>
        <w:rPr>
          <w:rFonts w:ascii="Arial" w:hAnsi="Arial"/>
          <w:sz w:val="22"/>
          <w:szCs w:val="22"/>
        </w:rPr>
      </w:pPr>
    </w:p>
    <w:p w14:paraId="0A4B6B25" w14:textId="77777777" w:rsidR="00BF4806" w:rsidRDefault="00BF4806" w:rsidP="00B9194D">
      <w:pPr>
        <w:jc w:val="both"/>
        <w:rPr>
          <w:rFonts w:ascii="Arial" w:hAnsi="Arial"/>
          <w:sz w:val="22"/>
          <w:szCs w:val="22"/>
        </w:rPr>
      </w:pPr>
    </w:p>
    <w:p w14:paraId="3F0A7654" w14:textId="1C960A44" w:rsidR="000D07CF" w:rsidRDefault="000612AD" w:rsidP="00A439C1">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lastRenderedPageBreak/>
        <w:t xml:space="preserve">Equation 5: </w:t>
      </w:r>
      <w:r w:rsidR="00CB2060">
        <w:rPr>
          <w:rFonts w:ascii="Arial" w:hAnsi="Arial"/>
          <w:sz w:val="22"/>
          <w:szCs w:val="22"/>
        </w:rPr>
        <w:t>Modeling COPEC dose for</w:t>
      </w:r>
      <w:r>
        <w:rPr>
          <w:rFonts w:ascii="Arial" w:hAnsi="Arial"/>
          <w:sz w:val="22"/>
          <w:szCs w:val="22"/>
        </w:rPr>
        <w:t xml:space="preserve"> </w:t>
      </w:r>
      <w:r w:rsidR="00456C0A">
        <w:rPr>
          <w:rFonts w:ascii="Arial" w:hAnsi="Arial"/>
          <w:sz w:val="22"/>
          <w:szCs w:val="22"/>
        </w:rPr>
        <w:t>herbi</w:t>
      </w:r>
      <w:r>
        <w:rPr>
          <w:rFonts w:ascii="Arial" w:hAnsi="Arial"/>
          <w:sz w:val="22"/>
          <w:szCs w:val="22"/>
        </w:rPr>
        <w:t>vorous birds and mammals (adapted from US EPA, 1999):</w:t>
      </w:r>
    </w:p>
    <w:p w14:paraId="0BF5F40B" w14:textId="77777777" w:rsidR="000612AD" w:rsidRDefault="000612AD" w:rsidP="00A439C1">
      <w:pPr>
        <w:pBdr>
          <w:top w:val="single" w:sz="4" w:space="1" w:color="auto"/>
          <w:left w:val="single" w:sz="4" w:space="4" w:color="auto"/>
          <w:bottom w:val="single" w:sz="4" w:space="1" w:color="auto"/>
          <w:right w:val="single" w:sz="4" w:space="4" w:color="auto"/>
        </w:pBdr>
        <w:jc w:val="both"/>
        <w:rPr>
          <w:rFonts w:ascii="Arial" w:hAnsi="Arial"/>
          <w:sz w:val="22"/>
          <w:szCs w:val="22"/>
        </w:rPr>
      </w:pPr>
    </w:p>
    <w:p w14:paraId="0F6A50AE" w14:textId="49B325AB" w:rsidR="000D07CF" w:rsidRPr="006A6848" w:rsidRDefault="00B723ED" w:rsidP="00A439C1">
      <w:pPr>
        <w:pBdr>
          <w:top w:val="single" w:sz="4" w:space="1" w:color="auto"/>
          <w:left w:val="single" w:sz="4" w:space="4" w:color="auto"/>
          <w:bottom w:val="single" w:sz="4" w:space="1" w:color="auto"/>
          <w:right w:val="single" w:sz="4" w:space="4" w:color="auto"/>
        </w:pBdr>
        <w:jc w:val="both"/>
        <w:rPr>
          <w:rFonts w:ascii="Arial" w:hAnsi="Arial"/>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ADD</m:t>
              </m:r>
            </m:e>
            <m:sub>
              <m:r>
                <w:rPr>
                  <w:rFonts w:ascii="Cambria Math" w:hAnsi="Cambria Math"/>
                  <w:sz w:val="22"/>
                  <w:szCs w:val="22"/>
                </w:rPr>
                <m:t>H</m:t>
              </m:r>
            </m:sub>
          </m:sSub>
          <m:r>
            <w:rPr>
              <w:rFonts w:ascii="Cambria Math" w:hAnsi="Cambria Math"/>
              <w:sz w:val="22"/>
              <w:szCs w:val="22"/>
            </w:rPr>
            <m:t xml:space="preserve"> = </m:t>
          </m:r>
          <m:d>
            <m:dPr>
              <m:begChr m:val="["/>
              <m:endChr m:val="]"/>
              <m:ctrlPr>
                <w:rPr>
                  <w:rFonts w:ascii="Cambria Math" w:hAnsi="Cambria Math"/>
                  <w:i/>
                  <w:sz w:val="22"/>
                  <w:szCs w:val="22"/>
                </w:rPr>
              </m:ctrlPr>
            </m:d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P</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IR</m:t>
                      </m:r>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P</m:t>
                      </m:r>
                    </m:sub>
                  </m:sSub>
                </m:e>
              </m:d>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IR</m:t>
                      </m:r>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S</m:t>
                      </m:r>
                    </m:sub>
                  </m:sSub>
                </m:e>
              </m:d>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SW</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IR</m:t>
                      </m:r>
                    </m:e>
                    <m:sub>
                      <m:r>
                        <w:rPr>
                          <w:rFonts w:ascii="Cambria Math" w:hAnsi="Cambria Math"/>
                          <w:sz w:val="22"/>
                          <w:szCs w:val="22"/>
                        </w:rPr>
                        <m:t>SW</m:t>
                      </m:r>
                    </m:sub>
                  </m:sSub>
                </m:e>
              </m:d>
            </m:e>
          </m:d>
          <m:r>
            <w:rPr>
              <w:rFonts w:ascii="Cambria Math" w:hAnsi="Cambria Math"/>
              <w:sz w:val="22"/>
              <w:szCs w:val="22"/>
            </w:rPr>
            <m:t>×AUF/BW</m:t>
          </m:r>
        </m:oMath>
      </m:oMathPara>
    </w:p>
    <w:p w14:paraId="54E424FF" w14:textId="77777777" w:rsidR="006A6848" w:rsidRDefault="006A6848" w:rsidP="00A439C1">
      <w:pPr>
        <w:pBdr>
          <w:top w:val="single" w:sz="4" w:space="1" w:color="auto"/>
          <w:left w:val="single" w:sz="4" w:space="4" w:color="auto"/>
          <w:bottom w:val="single" w:sz="4" w:space="1" w:color="auto"/>
          <w:right w:val="single" w:sz="4" w:space="4" w:color="auto"/>
        </w:pBdr>
        <w:jc w:val="both"/>
        <w:rPr>
          <w:rFonts w:ascii="Arial" w:hAnsi="Arial"/>
          <w:sz w:val="22"/>
          <w:szCs w:val="22"/>
        </w:rPr>
      </w:pPr>
    </w:p>
    <w:p w14:paraId="4F6C3A21" w14:textId="1F2ECD11" w:rsidR="006A6848" w:rsidRDefault="006A6848" w:rsidP="00A439C1">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where:</w:t>
      </w:r>
    </w:p>
    <w:p w14:paraId="05FEE89F" w14:textId="702AE02D" w:rsidR="006A6848" w:rsidRDefault="006A6848" w:rsidP="00A439C1">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r>
      <w:r w:rsidR="00D340C2">
        <w:rPr>
          <w:rFonts w:ascii="Arial" w:hAnsi="Arial"/>
          <w:sz w:val="22"/>
          <w:szCs w:val="22"/>
        </w:rPr>
        <w:t>AD</w:t>
      </w:r>
      <w:r>
        <w:rPr>
          <w:rFonts w:ascii="Arial" w:hAnsi="Arial"/>
          <w:sz w:val="22"/>
          <w:szCs w:val="22"/>
        </w:rPr>
        <w:t>D</w:t>
      </w:r>
      <w:r w:rsidR="00D340C2">
        <w:rPr>
          <w:rFonts w:ascii="Arial" w:hAnsi="Arial"/>
          <w:sz w:val="22"/>
          <w:szCs w:val="22"/>
          <w:vertAlign w:val="subscript"/>
        </w:rPr>
        <w:t>H</w:t>
      </w:r>
      <w:r w:rsidR="00D340C2">
        <w:rPr>
          <w:rFonts w:ascii="Arial" w:hAnsi="Arial"/>
          <w:sz w:val="22"/>
          <w:szCs w:val="22"/>
        </w:rPr>
        <w:t xml:space="preserve"> </w:t>
      </w:r>
      <w:r w:rsidR="00A439C1">
        <w:rPr>
          <w:rFonts w:ascii="Arial" w:hAnsi="Arial"/>
          <w:sz w:val="22"/>
          <w:szCs w:val="22"/>
        </w:rPr>
        <w:tab/>
      </w:r>
      <w:r w:rsidR="00D340C2">
        <w:rPr>
          <w:rFonts w:ascii="Arial" w:hAnsi="Arial"/>
          <w:sz w:val="22"/>
          <w:szCs w:val="22"/>
        </w:rPr>
        <w:t>= Average daily dose for herbivores (mg/kg-d)</w:t>
      </w:r>
    </w:p>
    <w:p w14:paraId="78B8E63D" w14:textId="0C77EF7A" w:rsidR="00D340C2" w:rsidRDefault="00D340C2" w:rsidP="00A439C1">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C</w:t>
      </w:r>
      <w:r w:rsidR="00A439C1">
        <w:rPr>
          <w:rFonts w:ascii="Arial" w:hAnsi="Arial"/>
          <w:sz w:val="22"/>
          <w:szCs w:val="22"/>
          <w:vertAlign w:val="subscript"/>
        </w:rPr>
        <w:t>P</w:t>
      </w:r>
      <w:r>
        <w:rPr>
          <w:rFonts w:ascii="Arial" w:hAnsi="Arial"/>
          <w:sz w:val="22"/>
          <w:szCs w:val="22"/>
        </w:rPr>
        <w:t xml:space="preserve"> </w:t>
      </w:r>
      <w:r w:rsidR="00A439C1">
        <w:rPr>
          <w:rFonts w:ascii="Arial" w:hAnsi="Arial"/>
          <w:sz w:val="22"/>
          <w:szCs w:val="22"/>
        </w:rPr>
        <w:tab/>
      </w:r>
      <w:r>
        <w:rPr>
          <w:rFonts w:ascii="Arial" w:hAnsi="Arial"/>
          <w:sz w:val="22"/>
          <w:szCs w:val="22"/>
        </w:rPr>
        <w:t>=</w:t>
      </w:r>
      <w:r w:rsidR="00C3532F">
        <w:rPr>
          <w:rFonts w:ascii="Arial" w:hAnsi="Arial"/>
          <w:sz w:val="22"/>
          <w:szCs w:val="22"/>
        </w:rPr>
        <w:t xml:space="preserve"> COPEC concentration in plant matter (mg/kg)</w:t>
      </w:r>
    </w:p>
    <w:p w14:paraId="4C46852D" w14:textId="37E71BC7" w:rsidR="00D340C2" w:rsidRDefault="00D340C2" w:rsidP="00A439C1">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IR</w:t>
      </w:r>
      <w:r>
        <w:rPr>
          <w:rFonts w:ascii="Arial" w:hAnsi="Arial"/>
          <w:sz w:val="22"/>
          <w:szCs w:val="22"/>
          <w:vertAlign w:val="subscript"/>
        </w:rPr>
        <w:t>F</w:t>
      </w:r>
      <w:r>
        <w:rPr>
          <w:rFonts w:ascii="Arial" w:hAnsi="Arial"/>
          <w:sz w:val="22"/>
          <w:szCs w:val="22"/>
        </w:rPr>
        <w:t xml:space="preserve"> </w:t>
      </w:r>
      <w:r w:rsidR="00A439C1">
        <w:rPr>
          <w:rFonts w:ascii="Arial" w:hAnsi="Arial"/>
          <w:sz w:val="22"/>
          <w:szCs w:val="22"/>
        </w:rPr>
        <w:tab/>
      </w:r>
      <w:r>
        <w:rPr>
          <w:rFonts w:ascii="Arial" w:hAnsi="Arial"/>
          <w:sz w:val="22"/>
          <w:szCs w:val="22"/>
        </w:rPr>
        <w:t xml:space="preserve">= </w:t>
      </w:r>
      <w:r w:rsidR="00C3532F">
        <w:rPr>
          <w:rFonts w:ascii="Arial" w:hAnsi="Arial"/>
          <w:sz w:val="22"/>
          <w:szCs w:val="22"/>
        </w:rPr>
        <w:t>Food ingestion rate (kg/d)</w:t>
      </w:r>
    </w:p>
    <w:p w14:paraId="4CC92CD7" w14:textId="38217DD5" w:rsidR="00D340C2" w:rsidRDefault="00D340C2" w:rsidP="00A439C1">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F</w:t>
      </w:r>
      <w:r w:rsidR="00A4452B">
        <w:rPr>
          <w:rFonts w:ascii="Arial" w:hAnsi="Arial"/>
          <w:sz w:val="22"/>
          <w:szCs w:val="22"/>
          <w:vertAlign w:val="subscript"/>
        </w:rPr>
        <w:t>P</w:t>
      </w:r>
      <w:r>
        <w:rPr>
          <w:rFonts w:ascii="Arial" w:hAnsi="Arial"/>
          <w:sz w:val="22"/>
          <w:szCs w:val="22"/>
        </w:rPr>
        <w:t xml:space="preserve"> </w:t>
      </w:r>
      <w:r w:rsidR="00A439C1">
        <w:rPr>
          <w:rFonts w:ascii="Arial" w:hAnsi="Arial"/>
          <w:sz w:val="22"/>
          <w:szCs w:val="22"/>
        </w:rPr>
        <w:tab/>
      </w:r>
      <w:r>
        <w:rPr>
          <w:rFonts w:ascii="Arial" w:hAnsi="Arial"/>
          <w:sz w:val="22"/>
          <w:szCs w:val="22"/>
        </w:rPr>
        <w:t xml:space="preserve">= </w:t>
      </w:r>
      <w:r w:rsidR="00C3532F">
        <w:rPr>
          <w:rFonts w:ascii="Arial" w:hAnsi="Arial"/>
          <w:sz w:val="22"/>
          <w:szCs w:val="22"/>
        </w:rPr>
        <w:t>Fraction of diet comprised of plant matter (unitless)</w:t>
      </w:r>
    </w:p>
    <w:p w14:paraId="427CA8D2" w14:textId="77E5145D" w:rsidR="00A4452B" w:rsidRDefault="00A4452B" w:rsidP="00A439C1">
      <w:pPr>
        <w:pBdr>
          <w:top w:val="single" w:sz="4" w:space="1" w:color="auto"/>
          <w:left w:val="single" w:sz="4" w:space="4" w:color="auto"/>
          <w:bottom w:val="single" w:sz="4" w:space="1" w:color="auto"/>
          <w:right w:val="single" w:sz="4" w:space="4" w:color="auto"/>
        </w:pBdr>
        <w:ind w:firstLine="720"/>
        <w:jc w:val="both"/>
        <w:rPr>
          <w:rFonts w:ascii="Arial" w:hAnsi="Arial"/>
          <w:sz w:val="22"/>
          <w:szCs w:val="22"/>
        </w:rPr>
      </w:pPr>
      <w:r>
        <w:rPr>
          <w:rFonts w:ascii="Arial" w:hAnsi="Arial"/>
          <w:sz w:val="22"/>
          <w:szCs w:val="22"/>
        </w:rPr>
        <w:t>C</w:t>
      </w:r>
      <w:r>
        <w:rPr>
          <w:rFonts w:ascii="Arial" w:hAnsi="Arial"/>
          <w:sz w:val="22"/>
          <w:szCs w:val="22"/>
          <w:vertAlign w:val="subscript"/>
        </w:rPr>
        <w:t>S</w:t>
      </w:r>
      <w:r>
        <w:rPr>
          <w:rFonts w:ascii="Arial" w:hAnsi="Arial"/>
          <w:sz w:val="22"/>
          <w:szCs w:val="22"/>
        </w:rPr>
        <w:t xml:space="preserve"> </w:t>
      </w:r>
      <w:r w:rsidR="00A439C1">
        <w:rPr>
          <w:rFonts w:ascii="Arial" w:hAnsi="Arial"/>
          <w:sz w:val="22"/>
          <w:szCs w:val="22"/>
        </w:rPr>
        <w:tab/>
      </w:r>
      <w:r>
        <w:rPr>
          <w:rFonts w:ascii="Arial" w:hAnsi="Arial"/>
          <w:sz w:val="22"/>
          <w:szCs w:val="22"/>
        </w:rPr>
        <w:t xml:space="preserve">= COPEC concentration in </w:t>
      </w:r>
      <w:r w:rsidR="00A439C1">
        <w:rPr>
          <w:rFonts w:ascii="Arial" w:hAnsi="Arial"/>
          <w:sz w:val="22"/>
          <w:szCs w:val="22"/>
        </w:rPr>
        <w:t>sediment/soil</w:t>
      </w:r>
      <w:r>
        <w:rPr>
          <w:rFonts w:ascii="Arial" w:hAnsi="Arial"/>
          <w:sz w:val="22"/>
          <w:szCs w:val="22"/>
        </w:rPr>
        <w:t xml:space="preserve"> (mg/kg)</w:t>
      </w:r>
    </w:p>
    <w:p w14:paraId="5BA1CE0E" w14:textId="2A4B38A2" w:rsidR="00A4452B" w:rsidRDefault="00A4452B" w:rsidP="00A439C1">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F</w:t>
      </w:r>
      <w:r>
        <w:rPr>
          <w:rFonts w:ascii="Arial" w:hAnsi="Arial"/>
          <w:sz w:val="22"/>
          <w:szCs w:val="22"/>
          <w:vertAlign w:val="subscript"/>
        </w:rPr>
        <w:t>S</w:t>
      </w:r>
      <w:r>
        <w:rPr>
          <w:rFonts w:ascii="Arial" w:hAnsi="Arial"/>
          <w:sz w:val="22"/>
          <w:szCs w:val="22"/>
        </w:rPr>
        <w:t xml:space="preserve"> </w:t>
      </w:r>
      <w:r w:rsidR="00A439C1">
        <w:rPr>
          <w:rFonts w:ascii="Arial" w:hAnsi="Arial"/>
          <w:sz w:val="22"/>
          <w:szCs w:val="22"/>
        </w:rPr>
        <w:tab/>
      </w:r>
      <w:r>
        <w:rPr>
          <w:rFonts w:ascii="Arial" w:hAnsi="Arial"/>
          <w:sz w:val="22"/>
          <w:szCs w:val="22"/>
        </w:rPr>
        <w:t xml:space="preserve">= Fraction of diet comprised of </w:t>
      </w:r>
      <w:r w:rsidR="00A439C1">
        <w:rPr>
          <w:rFonts w:ascii="Arial" w:hAnsi="Arial"/>
          <w:sz w:val="22"/>
          <w:szCs w:val="22"/>
        </w:rPr>
        <w:t>sediment/soil</w:t>
      </w:r>
      <w:r>
        <w:rPr>
          <w:rFonts w:ascii="Arial" w:hAnsi="Arial"/>
          <w:sz w:val="22"/>
          <w:szCs w:val="22"/>
        </w:rPr>
        <w:t xml:space="preserve"> (unitless)</w:t>
      </w:r>
    </w:p>
    <w:p w14:paraId="4A0DC858" w14:textId="22C87AA4" w:rsidR="00A439C1" w:rsidRDefault="00A439C1" w:rsidP="00A439C1">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C</w:t>
      </w:r>
      <w:r>
        <w:rPr>
          <w:rFonts w:ascii="Arial" w:hAnsi="Arial"/>
          <w:sz w:val="22"/>
          <w:szCs w:val="22"/>
          <w:vertAlign w:val="subscript"/>
        </w:rPr>
        <w:t>SW</w:t>
      </w:r>
      <w:r>
        <w:rPr>
          <w:rFonts w:ascii="Arial" w:hAnsi="Arial"/>
          <w:sz w:val="22"/>
          <w:szCs w:val="22"/>
        </w:rPr>
        <w:t xml:space="preserve"> </w:t>
      </w:r>
      <w:r>
        <w:rPr>
          <w:rFonts w:ascii="Arial" w:hAnsi="Arial"/>
          <w:sz w:val="22"/>
          <w:szCs w:val="22"/>
        </w:rPr>
        <w:tab/>
        <w:t>= COPEC concentration in plant matter (mg/kg)</w:t>
      </w:r>
    </w:p>
    <w:p w14:paraId="2FC83A26" w14:textId="0015AC9D" w:rsidR="00A439C1" w:rsidRDefault="00A439C1" w:rsidP="00A439C1">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IR</w:t>
      </w:r>
      <w:r>
        <w:rPr>
          <w:rFonts w:ascii="Arial" w:hAnsi="Arial"/>
          <w:sz w:val="22"/>
          <w:szCs w:val="22"/>
          <w:vertAlign w:val="subscript"/>
        </w:rPr>
        <w:t>SW</w:t>
      </w:r>
      <w:r>
        <w:rPr>
          <w:rFonts w:ascii="Arial" w:hAnsi="Arial"/>
          <w:sz w:val="22"/>
          <w:szCs w:val="22"/>
        </w:rPr>
        <w:t xml:space="preserve"> </w:t>
      </w:r>
      <w:r>
        <w:rPr>
          <w:rFonts w:ascii="Arial" w:hAnsi="Arial"/>
          <w:sz w:val="22"/>
          <w:szCs w:val="22"/>
        </w:rPr>
        <w:tab/>
        <w:t>= Food ingestion rate (kg/d)</w:t>
      </w:r>
    </w:p>
    <w:p w14:paraId="6BCF2F7E" w14:textId="5A8BBE01" w:rsidR="00C3532F" w:rsidRDefault="00C3532F" w:rsidP="00A439C1">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 xml:space="preserve">AUF </w:t>
      </w:r>
      <w:r w:rsidR="00A439C1">
        <w:rPr>
          <w:rFonts w:ascii="Arial" w:hAnsi="Arial"/>
          <w:sz w:val="22"/>
          <w:szCs w:val="22"/>
        </w:rPr>
        <w:tab/>
      </w:r>
      <w:r>
        <w:rPr>
          <w:rFonts w:ascii="Arial" w:hAnsi="Arial"/>
          <w:sz w:val="22"/>
          <w:szCs w:val="22"/>
        </w:rPr>
        <w:t>= Area use factor (unitless)</w:t>
      </w:r>
    </w:p>
    <w:p w14:paraId="5D3E4FFC" w14:textId="3E050455" w:rsidR="00C3532F" w:rsidRPr="00D340C2" w:rsidRDefault="00C3532F" w:rsidP="00A439C1">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 xml:space="preserve">BW </w:t>
      </w:r>
      <w:r w:rsidR="00A439C1">
        <w:rPr>
          <w:rFonts w:ascii="Arial" w:hAnsi="Arial"/>
          <w:sz w:val="22"/>
          <w:szCs w:val="22"/>
        </w:rPr>
        <w:tab/>
      </w:r>
      <w:r>
        <w:rPr>
          <w:rFonts w:ascii="Arial" w:hAnsi="Arial"/>
          <w:sz w:val="22"/>
          <w:szCs w:val="22"/>
        </w:rPr>
        <w:t>= Body weight (kg)</w:t>
      </w:r>
    </w:p>
    <w:p w14:paraId="571E278E" w14:textId="77777777" w:rsidR="00A4452B" w:rsidRDefault="00A4452B" w:rsidP="00B9194D">
      <w:pPr>
        <w:jc w:val="both"/>
        <w:rPr>
          <w:rFonts w:ascii="Arial" w:hAnsi="Arial"/>
          <w:sz w:val="22"/>
          <w:szCs w:val="22"/>
        </w:rPr>
      </w:pPr>
    </w:p>
    <w:p w14:paraId="0026EDAC" w14:textId="77777777" w:rsidR="00BF4806" w:rsidRDefault="00BF4806" w:rsidP="00B9194D">
      <w:pPr>
        <w:jc w:val="both"/>
        <w:rPr>
          <w:rFonts w:ascii="Arial" w:hAnsi="Arial"/>
          <w:sz w:val="22"/>
          <w:szCs w:val="22"/>
        </w:rPr>
      </w:pPr>
    </w:p>
    <w:p w14:paraId="707888C4" w14:textId="77777777" w:rsidR="00BF4806" w:rsidRDefault="00BF4806" w:rsidP="00B9194D">
      <w:pPr>
        <w:jc w:val="both"/>
        <w:rPr>
          <w:rFonts w:ascii="Arial" w:hAnsi="Arial"/>
          <w:sz w:val="22"/>
          <w:szCs w:val="22"/>
        </w:rPr>
      </w:pPr>
    </w:p>
    <w:p w14:paraId="5B23CAA1" w14:textId="77777777" w:rsidR="00BF4806" w:rsidRDefault="00BF4806" w:rsidP="00B9194D">
      <w:pPr>
        <w:jc w:val="both"/>
        <w:rPr>
          <w:rFonts w:ascii="Arial" w:hAnsi="Arial"/>
          <w:sz w:val="22"/>
          <w:szCs w:val="22"/>
        </w:rPr>
      </w:pPr>
    </w:p>
    <w:p w14:paraId="07215B48" w14:textId="77777777" w:rsidR="00BF4806" w:rsidRDefault="00BF4806" w:rsidP="00B9194D">
      <w:pPr>
        <w:jc w:val="both"/>
        <w:rPr>
          <w:rFonts w:ascii="Arial" w:hAnsi="Arial"/>
          <w:sz w:val="22"/>
          <w:szCs w:val="22"/>
        </w:rPr>
      </w:pPr>
    </w:p>
    <w:p w14:paraId="25B79600" w14:textId="77777777" w:rsidR="00BF4806" w:rsidRDefault="00BF4806" w:rsidP="00B9194D">
      <w:pPr>
        <w:jc w:val="both"/>
        <w:rPr>
          <w:rFonts w:ascii="Arial" w:hAnsi="Arial"/>
          <w:sz w:val="22"/>
          <w:szCs w:val="22"/>
        </w:rPr>
      </w:pPr>
    </w:p>
    <w:p w14:paraId="0F02445C" w14:textId="77777777" w:rsidR="00BF4806" w:rsidRDefault="00BF4806" w:rsidP="00B9194D">
      <w:pPr>
        <w:jc w:val="both"/>
        <w:rPr>
          <w:rFonts w:ascii="Arial" w:hAnsi="Arial"/>
          <w:sz w:val="22"/>
          <w:szCs w:val="22"/>
        </w:rPr>
      </w:pPr>
    </w:p>
    <w:p w14:paraId="65054666" w14:textId="77777777" w:rsidR="00BF4806" w:rsidRDefault="00BF4806" w:rsidP="00B9194D">
      <w:pPr>
        <w:jc w:val="both"/>
        <w:rPr>
          <w:rFonts w:ascii="Arial" w:hAnsi="Arial"/>
          <w:sz w:val="22"/>
          <w:szCs w:val="22"/>
        </w:rPr>
      </w:pPr>
    </w:p>
    <w:p w14:paraId="18EADA0D" w14:textId="6B07A262" w:rsidR="00456C0A" w:rsidRDefault="00456C0A" w:rsidP="00456C0A">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Equation 6: Modeling COPEC dose for omnivorous birds and mammals (adapted from US EPA, 1999):</w:t>
      </w:r>
    </w:p>
    <w:p w14:paraId="04BBD37B" w14:textId="77777777" w:rsidR="00456C0A" w:rsidRDefault="00456C0A" w:rsidP="00456C0A">
      <w:pPr>
        <w:pBdr>
          <w:top w:val="single" w:sz="4" w:space="1" w:color="auto"/>
          <w:left w:val="single" w:sz="4" w:space="4" w:color="auto"/>
          <w:bottom w:val="single" w:sz="4" w:space="1" w:color="auto"/>
          <w:right w:val="single" w:sz="4" w:space="4" w:color="auto"/>
        </w:pBdr>
        <w:jc w:val="both"/>
        <w:rPr>
          <w:rFonts w:ascii="Arial" w:hAnsi="Arial"/>
          <w:sz w:val="22"/>
          <w:szCs w:val="22"/>
        </w:rPr>
      </w:pPr>
    </w:p>
    <w:p w14:paraId="34ACD659" w14:textId="2F085B7E" w:rsidR="00456C0A" w:rsidRPr="006A6848" w:rsidRDefault="00B723ED" w:rsidP="00456C0A">
      <w:pPr>
        <w:pBdr>
          <w:top w:val="single" w:sz="4" w:space="1" w:color="auto"/>
          <w:left w:val="single" w:sz="4" w:space="4" w:color="auto"/>
          <w:bottom w:val="single" w:sz="4" w:space="1" w:color="auto"/>
          <w:right w:val="single" w:sz="4" w:space="4" w:color="auto"/>
        </w:pBdr>
        <w:jc w:val="both"/>
        <w:rPr>
          <w:rFonts w:ascii="Arial" w:hAnsi="Arial"/>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ADD</m:t>
              </m:r>
            </m:e>
            <m:sub>
              <m:r>
                <w:rPr>
                  <w:rFonts w:ascii="Cambria Math" w:hAnsi="Cambria Math"/>
                  <w:sz w:val="22"/>
                  <w:szCs w:val="22"/>
                </w:rPr>
                <m:t>O</m:t>
              </m:r>
            </m:sub>
          </m:sSub>
          <m:r>
            <w:rPr>
              <w:rFonts w:ascii="Cambria Math" w:hAnsi="Cambria Math"/>
              <w:sz w:val="22"/>
              <w:szCs w:val="22"/>
            </w:rPr>
            <m:t xml:space="preserve"> = </m:t>
          </m:r>
          <m:d>
            <m:dPr>
              <m:begChr m:val="["/>
              <m:endChr m:val="]"/>
              <m:ctrlPr>
                <w:rPr>
                  <w:rFonts w:ascii="Cambria Math" w:hAnsi="Cambria Math"/>
                  <w:i/>
                  <w:sz w:val="22"/>
                  <w:szCs w:val="22"/>
                </w:rPr>
              </m:ctrlPr>
            </m:d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P</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IR</m:t>
                      </m:r>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P</m:t>
                      </m:r>
                    </m:sub>
                  </m:sSub>
                </m:e>
              </m:d>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A</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IR</m:t>
                      </m:r>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A</m:t>
                      </m:r>
                    </m:sub>
                  </m:sSub>
                </m:e>
              </m:d>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IR</m:t>
                      </m:r>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S</m:t>
                      </m:r>
                    </m:sub>
                  </m:sSub>
                </m:e>
              </m:d>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SW</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IR</m:t>
                      </m:r>
                    </m:e>
                    <m:sub>
                      <m:r>
                        <w:rPr>
                          <w:rFonts w:ascii="Cambria Math" w:hAnsi="Cambria Math"/>
                          <w:sz w:val="22"/>
                          <w:szCs w:val="22"/>
                        </w:rPr>
                        <m:t>SW</m:t>
                      </m:r>
                    </m:sub>
                  </m:sSub>
                </m:e>
              </m:d>
            </m:e>
          </m:d>
          <m:r>
            <w:rPr>
              <w:rFonts w:ascii="Cambria Math" w:hAnsi="Cambria Math"/>
              <w:sz w:val="22"/>
              <w:szCs w:val="22"/>
            </w:rPr>
            <m:t>×AUF/BW</m:t>
          </m:r>
        </m:oMath>
      </m:oMathPara>
    </w:p>
    <w:p w14:paraId="65A7E4CE" w14:textId="77777777" w:rsidR="00456C0A" w:rsidRDefault="00456C0A" w:rsidP="00456C0A">
      <w:pPr>
        <w:pBdr>
          <w:top w:val="single" w:sz="4" w:space="1" w:color="auto"/>
          <w:left w:val="single" w:sz="4" w:space="4" w:color="auto"/>
          <w:bottom w:val="single" w:sz="4" w:space="1" w:color="auto"/>
          <w:right w:val="single" w:sz="4" w:space="4" w:color="auto"/>
        </w:pBdr>
        <w:jc w:val="both"/>
        <w:rPr>
          <w:rFonts w:ascii="Arial" w:hAnsi="Arial"/>
          <w:sz w:val="22"/>
          <w:szCs w:val="22"/>
        </w:rPr>
      </w:pPr>
    </w:p>
    <w:p w14:paraId="75018FD2" w14:textId="77777777" w:rsidR="00456C0A" w:rsidRDefault="00456C0A" w:rsidP="00456C0A">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where:</w:t>
      </w:r>
    </w:p>
    <w:p w14:paraId="57F75516" w14:textId="18F85CAB" w:rsidR="00456C0A" w:rsidRDefault="00456C0A" w:rsidP="00456C0A">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ADD</w:t>
      </w:r>
      <w:r>
        <w:rPr>
          <w:rFonts w:ascii="Arial" w:hAnsi="Arial"/>
          <w:sz w:val="22"/>
          <w:szCs w:val="22"/>
          <w:vertAlign w:val="subscript"/>
        </w:rPr>
        <w:t>O</w:t>
      </w:r>
      <w:r>
        <w:rPr>
          <w:rFonts w:ascii="Arial" w:hAnsi="Arial"/>
          <w:sz w:val="22"/>
          <w:szCs w:val="22"/>
        </w:rPr>
        <w:t xml:space="preserve"> </w:t>
      </w:r>
      <w:r>
        <w:rPr>
          <w:rFonts w:ascii="Arial" w:hAnsi="Arial"/>
          <w:sz w:val="22"/>
          <w:szCs w:val="22"/>
        </w:rPr>
        <w:tab/>
        <w:t>= Average daily dose for omnivores (mg/kg-d)</w:t>
      </w:r>
    </w:p>
    <w:p w14:paraId="4688191D" w14:textId="77777777" w:rsidR="00456C0A" w:rsidRDefault="00456C0A" w:rsidP="00456C0A">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C</w:t>
      </w:r>
      <w:r>
        <w:rPr>
          <w:rFonts w:ascii="Arial" w:hAnsi="Arial"/>
          <w:sz w:val="22"/>
          <w:szCs w:val="22"/>
          <w:vertAlign w:val="subscript"/>
        </w:rPr>
        <w:t>P</w:t>
      </w:r>
      <w:r>
        <w:rPr>
          <w:rFonts w:ascii="Arial" w:hAnsi="Arial"/>
          <w:sz w:val="22"/>
          <w:szCs w:val="22"/>
        </w:rPr>
        <w:t xml:space="preserve"> </w:t>
      </w:r>
      <w:r>
        <w:rPr>
          <w:rFonts w:ascii="Arial" w:hAnsi="Arial"/>
          <w:sz w:val="22"/>
          <w:szCs w:val="22"/>
        </w:rPr>
        <w:tab/>
        <w:t>= COPEC concentration in plant matter (mg/kg)</w:t>
      </w:r>
    </w:p>
    <w:p w14:paraId="6E384B7E" w14:textId="77777777" w:rsidR="00456C0A" w:rsidRDefault="00456C0A" w:rsidP="00456C0A">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IR</w:t>
      </w:r>
      <w:r>
        <w:rPr>
          <w:rFonts w:ascii="Arial" w:hAnsi="Arial"/>
          <w:sz w:val="22"/>
          <w:szCs w:val="22"/>
          <w:vertAlign w:val="subscript"/>
        </w:rPr>
        <w:t>F</w:t>
      </w:r>
      <w:r>
        <w:rPr>
          <w:rFonts w:ascii="Arial" w:hAnsi="Arial"/>
          <w:sz w:val="22"/>
          <w:szCs w:val="22"/>
        </w:rPr>
        <w:t xml:space="preserve"> </w:t>
      </w:r>
      <w:r>
        <w:rPr>
          <w:rFonts w:ascii="Arial" w:hAnsi="Arial"/>
          <w:sz w:val="22"/>
          <w:szCs w:val="22"/>
        </w:rPr>
        <w:tab/>
        <w:t>= Food ingestion rate (kg/d)</w:t>
      </w:r>
    </w:p>
    <w:p w14:paraId="00B51870" w14:textId="77777777" w:rsidR="00456C0A" w:rsidRDefault="00456C0A" w:rsidP="00456C0A">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F</w:t>
      </w:r>
      <w:r>
        <w:rPr>
          <w:rFonts w:ascii="Arial" w:hAnsi="Arial"/>
          <w:sz w:val="22"/>
          <w:szCs w:val="22"/>
          <w:vertAlign w:val="subscript"/>
        </w:rPr>
        <w:t>P</w:t>
      </w:r>
      <w:r>
        <w:rPr>
          <w:rFonts w:ascii="Arial" w:hAnsi="Arial"/>
          <w:sz w:val="22"/>
          <w:szCs w:val="22"/>
        </w:rPr>
        <w:t xml:space="preserve"> </w:t>
      </w:r>
      <w:r>
        <w:rPr>
          <w:rFonts w:ascii="Arial" w:hAnsi="Arial"/>
          <w:sz w:val="22"/>
          <w:szCs w:val="22"/>
        </w:rPr>
        <w:tab/>
        <w:t>= Fraction of diet comprised of plant matter (unitless)</w:t>
      </w:r>
    </w:p>
    <w:p w14:paraId="5BD921B6" w14:textId="682A2544" w:rsidR="00C46EE9" w:rsidRDefault="00C46EE9" w:rsidP="00C46EE9">
      <w:pPr>
        <w:pBdr>
          <w:top w:val="single" w:sz="4" w:space="1" w:color="auto"/>
          <w:left w:val="single" w:sz="4" w:space="4" w:color="auto"/>
          <w:bottom w:val="single" w:sz="4" w:space="1" w:color="auto"/>
          <w:right w:val="single" w:sz="4" w:space="4" w:color="auto"/>
        </w:pBdr>
        <w:ind w:firstLine="720"/>
        <w:jc w:val="both"/>
        <w:rPr>
          <w:rFonts w:ascii="Arial" w:hAnsi="Arial"/>
          <w:sz w:val="22"/>
          <w:szCs w:val="22"/>
        </w:rPr>
      </w:pPr>
      <w:r>
        <w:rPr>
          <w:rFonts w:ascii="Arial" w:hAnsi="Arial"/>
          <w:sz w:val="22"/>
          <w:szCs w:val="22"/>
        </w:rPr>
        <w:t>C</w:t>
      </w:r>
      <w:r>
        <w:rPr>
          <w:rFonts w:ascii="Arial" w:hAnsi="Arial"/>
          <w:sz w:val="22"/>
          <w:szCs w:val="22"/>
          <w:vertAlign w:val="subscript"/>
        </w:rPr>
        <w:t>A</w:t>
      </w:r>
      <w:r>
        <w:rPr>
          <w:rFonts w:ascii="Arial" w:hAnsi="Arial"/>
          <w:sz w:val="22"/>
          <w:szCs w:val="22"/>
        </w:rPr>
        <w:t xml:space="preserve"> </w:t>
      </w:r>
      <w:r>
        <w:rPr>
          <w:rFonts w:ascii="Arial" w:hAnsi="Arial"/>
          <w:sz w:val="22"/>
          <w:szCs w:val="22"/>
        </w:rPr>
        <w:tab/>
        <w:t>= COPEC concentration in sediment/soil (mg/kg)</w:t>
      </w:r>
    </w:p>
    <w:p w14:paraId="0337FF29" w14:textId="7040DD14" w:rsidR="00C46EE9" w:rsidRDefault="00C46EE9" w:rsidP="00456C0A">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F</w:t>
      </w:r>
      <w:r>
        <w:rPr>
          <w:rFonts w:ascii="Arial" w:hAnsi="Arial"/>
          <w:sz w:val="22"/>
          <w:szCs w:val="22"/>
          <w:vertAlign w:val="subscript"/>
        </w:rPr>
        <w:t>A</w:t>
      </w:r>
      <w:r>
        <w:rPr>
          <w:rFonts w:ascii="Arial" w:hAnsi="Arial"/>
          <w:sz w:val="22"/>
          <w:szCs w:val="22"/>
        </w:rPr>
        <w:t xml:space="preserve"> </w:t>
      </w:r>
      <w:r>
        <w:rPr>
          <w:rFonts w:ascii="Arial" w:hAnsi="Arial"/>
          <w:sz w:val="22"/>
          <w:szCs w:val="22"/>
        </w:rPr>
        <w:tab/>
        <w:t>= Fraction of diet comprised of prey animal (unitless)</w:t>
      </w:r>
    </w:p>
    <w:p w14:paraId="3E773750" w14:textId="3D4E3B03" w:rsidR="00456C0A" w:rsidRDefault="00456C0A" w:rsidP="00456C0A">
      <w:pPr>
        <w:pBdr>
          <w:top w:val="single" w:sz="4" w:space="1" w:color="auto"/>
          <w:left w:val="single" w:sz="4" w:space="4" w:color="auto"/>
          <w:bottom w:val="single" w:sz="4" w:space="1" w:color="auto"/>
          <w:right w:val="single" w:sz="4" w:space="4" w:color="auto"/>
        </w:pBdr>
        <w:ind w:firstLine="720"/>
        <w:jc w:val="both"/>
        <w:rPr>
          <w:rFonts w:ascii="Arial" w:hAnsi="Arial"/>
          <w:sz w:val="22"/>
          <w:szCs w:val="22"/>
        </w:rPr>
      </w:pPr>
      <w:r>
        <w:rPr>
          <w:rFonts w:ascii="Arial" w:hAnsi="Arial"/>
          <w:sz w:val="22"/>
          <w:szCs w:val="22"/>
        </w:rPr>
        <w:t>C</w:t>
      </w:r>
      <w:r w:rsidR="00C46EE9">
        <w:rPr>
          <w:rFonts w:ascii="Arial" w:hAnsi="Arial"/>
          <w:sz w:val="22"/>
          <w:szCs w:val="22"/>
          <w:vertAlign w:val="subscript"/>
        </w:rPr>
        <w:t>A</w:t>
      </w:r>
      <w:r>
        <w:rPr>
          <w:rFonts w:ascii="Arial" w:hAnsi="Arial"/>
          <w:sz w:val="22"/>
          <w:szCs w:val="22"/>
        </w:rPr>
        <w:t xml:space="preserve"> </w:t>
      </w:r>
      <w:r>
        <w:rPr>
          <w:rFonts w:ascii="Arial" w:hAnsi="Arial"/>
          <w:sz w:val="22"/>
          <w:szCs w:val="22"/>
        </w:rPr>
        <w:tab/>
        <w:t xml:space="preserve">= COPEC concentration in </w:t>
      </w:r>
      <w:r w:rsidR="00C46EE9">
        <w:rPr>
          <w:rFonts w:ascii="Arial" w:hAnsi="Arial"/>
          <w:sz w:val="22"/>
          <w:szCs w:val="22"/>
        </w:rPr>
        <w:t>prey animal</w:t>
      </w:r>
      <w:r>
        <w:rPr>
          <w:rFonts w:ascii="Arial" w:hAnsi="Arial"/>
          <w:sz w:val="22"/>
          <w:szCs w:val="22"/>
        </w:rPr>
        <w:t xml:space="preserve"> (mg/kg)</w:t>
      </w:r>
    </w:p>
    <w:p w14:paraId="7E91BB7F" w14:textId="77777777" w:rsidR="00456C0A" w:rsidRDefault="00456C0A" w:rsidP="00456C0A">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F</w:t>
      </w:r>
      <w:r>
        <w:rPr>
          <w:rFonts w:ascii="Arial" w:hAnsi="Arial"/>
          <w:sz w:val="22"/>
          <w:szCs w:val="22"/>
          <w:vertAlign w:val="subscript"/>
        </w:rPr>
        <w:t>S</w:t>
      </w:r>
      <w:r>
        <w:rPr>
          <w:rFonts w:ascii="Arial" w:hAnsi="Arial"/>
          <w:sz w:val="22"/>
          <w:szCs w:val="22"/>
        </w:rPr>
        <w:t xml:space="preserve"> </w:t>
      </w:r>
      <w:r>
        <w:rPr>
          <w:rFonts w:ascii="Arial" w:hAnsi="Arial"/>
          <w:sz w:val="22"/>
          <w:szCs w:val="22"/>
        </w:rPr>
        <w:tab/>
        <w:t>= Fraction of diet comprised of sediment/soil (unitless)</w:t>
      </w:r>
    </w:p>
    <w:p w14:paraId="37D2EEB9" w14:textId="77777777" w:rsidR="00456C0A" w:rsidRDefault="00456C0A" w:rsidP="00456C0A">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C</w:t>
      </w:r>
      <w:r>
        <w:rPr>
          <w:rFonts w:ascii="Arial" w:hAnsi="Arial"/>
          <w:sz w:val="22"/>
          <w:szCs w:val="22"/>
          <w:vertAlign w:val="subscript"/>
        </w:rPr>
        <w:t>SW</w:t>
      </w:r>
      <w:r>
        <w:rPr>
          <w:rFonts w:ascii="Arial" w:hAnsi="Arial"/>
          <w:sz w:val="22"/>
          <w:szCs w:val="22"/>
        </w:rPr>
        <w:t xml:space="preserve"> </w:t>
      </w:r>
      <w:r>
        <w:rPr>
          <w:rFonts w:ascii="Arial" w:hAnsi="Arial"/>
          <w:sz w:val="22"/>
          <w:szCs w:val="22"/>
        </w:rPr>
        <w:tab/>
        <w:t>= COPEC concentration in plant matter (mg/kg)</w:t>
      </w:r>
    </w:p>
    <w:p w14:paraId="321D0527" w14:textId="77777777" w:rsidR="00456C0A" w:rsidRDefault="00456C0A" w:rsidP="00456C0A">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IR</w:t>
      </w:r>
      <w:r>
        <w:rPr>
          <w:rFonts w:ascii="Arial" w:hAnsi="Arial"/>
          <w:sz w:val="22"/>
          <w:szCs w:val="22"/>
          <w:vertAlign w:val="subscript"/>
        </w:rPr>
        <w:t>SW</w:t>
      </w:r>
      <w:r>
        <w:rPr>
          <w:rFonts w:ascii="Arial" w:hAnsi="Arial"/>
          <w:sz w:val="22"/>
          <w:szCs w:val="22"/>
        </w:rPr>
        <w:t xml:space="preserve"> </w:t>
      </w:r>
      <w:r>
        <w:rPr>
          <w:rFonts w:ascii="Arial" w:hAnsi="Arial"/>
          <w:sz w:val="22"/>
          <w:szCs w:val="22"/>
        </w:rPr>
        <w:tab/>
        <w:t>= Food ingestion rate (kg/d)</w:t>
      </w:r>
    </w:p>
    <w:p w14:paraId="1E5B69C2" w14:textId="77777777" w:rsidR="00456C0A" w:rsidRDefault="00456C0A" w:rsidP="00456C0A">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 xml:space="preserve">AUF </w:t>
      </w:r>
      <w:r>
        <w:rPr>
          <w:rFonts w:ascii="Arial" w:hAnsi="Arial"/>
          <w:sz w:val="22"/>
          <w:szCs w:val="22"/>
        </w:rPr>
        <w:tab/>
        <w:t>= Area use factor (unitless)</w:t>
      </w:r>
    </w:p>
    <w:p w14:paraId="33F500FB" w14:textId="77777777" w:rsidR="00456C0A" w:rsidRPr="00D340C2" w:rsidRDefault="00456C0A" w:rsidP="00456C0A">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 xml:space="preserve">BW </w:t>
      </w:r>
      <w:r>
        <w:rPr>
          <w:rFonts w:ascii="Arial" w:hAnsi="Arial"/>
          <w:sz w:val="22"/>
          <w:szCs w:val="22"/>
        </w:rPr>
        <w:tab/>
        <w:t>= Body weight (kg)</w:t>
      </w:r>
    </w:p>
    <w:p w14:paraId="3AE05F02" w14:textId="77777777" w:rsidR="00A4452B" w:rsidRDefault="00A4452B" w:rsidP="00B9194D">
      <w:pPr>
        <w:jc w:val="both"/>
        <w:rPr>
          <w:rFonts w:ascii="Arial" w:hAnsi="Arial"/>
          <w:sz w:val="22"/>
          <w:szCs w:val="22"/>
        </w:rPr>
      </w:pPr>
    </w:p>
    <w:p w14:paraId="166AB41D" w14:textId="77777777" w:rsidR="00BF4806" w:rsidRDefault="00BF4806" w:rsidP="00B9194D">
      <w:pPr>
        <w:jc w:val="both"/>
        <w:rPr>
          <w:rFonts w:ascii="Arial" w:hAnsi="Arial"/>
          <w:sz w:val="22"/>
          <w:szCs w:val="22"/>
        </w:rPr>
      </w:pPr>
    </w:p>
    <w:p w14:paraId="168C7615" w14:textId="77777777" w:rsidR="00BF4806" w:rsidRDefault="00BF4806" w:rsidP="00B9194D">
      <w:pPr>
        <w:jc w:val="both"/>
        <w:rPr>
          <w:rFonts w:ascii="Arial" w:hAnsi="Arial"/>
          <w:sz w:val="22"/>
          <w:szCs w:val="22"/>
        </w:rPr>
      </w:pPr>
    </w:p>
    <w:p w14:paraId="259ACA4A" w14:textId="77777777" w:rsidR="00BF4806" w:rsidRDefault="00BF4806" w:rsidP="00B9194D">
      <w:pPr>
        <w:jc w:val="both"/>
        <w:rPr>
          <w:rFonts w:ascii="Arial" w:hAnsi="Arial"/>
          <w:sz w:val="22"/>
          <w:szCs w:val="22"/>
        </w:rPr>
      </w:pPr>
    </w:p>
    <w:p w14:paraId="3E4F3760" w14:textId="77777777" w:rsidR="00BF4806" w:rsidRDefault="00BF4806" w:rsidP="00B9194D">
      <w:pPr>
        <w:jc w:val="both"/>
        <w:rPr>
          <w:rFonts w:ascii="Arial" w:hAnsi="Arial"/>
          <w:sz w:val="22"/>
          <w:szCs w:val="22"/>
        </w:rPr>
      </w:pPr>
    </w:p>
    <w:p w14:paraId="000C2416" w14:textId="77777777" w:rsidR="00BF4806" w:rsidRDefault="00BF4806" w:rsidP="00B9194D">
      <w:pPr>
        <w:jc w:val="both"/>
        <w:rPr>
          <w:rFonts w:ascii="Arial" w:hAnsi="Arial"/>
          <w:sz w:val="22"/>
          <w:szCs w:val="22"/>
        </w:rPr>
      </w:pPr>
    </w:p>
    <w:p w14:paraId="6CD11B09" w14:textId="77777777" w:rsidR="00BF4806" w:rsidRDefault="00BF4806" w:rsidP="00B9194D">
      <w:pPr>
        <w:jc w:val="both"/>
        <w:rPr>
          <w:rFonts w:ascii="Arial" w:hAnsi="Arial"/>
          <w:sz w:val="22"/>
          <w:szCs w:val="22"/>
        </w:rPr>
      </w:pPr>
    </w:p>
    <w:p w14:paraId="7D374B5E" w14:textId="64A0930D" w:rsidR="00D772E3" w:rsidRDefault="00D772E3" w:rsidP="00D772E3">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lastRenderedPageBreak/>
        <w:t>Equation 7: Modeling COPEC dose for carnivorous birds and mammals (adapted from US EPA, 1999):</w:t>
      </w:r>
    </w:p>
    <w:p w14:paraId="4D535952" w14:textId="77777777" w:rsidR="00D772E3" w:rsidRDefault="00D772E3" w:rsidP="00D772E3">
      <w:pPr>
        <w:pBdr>
          <w:top w:val="single" w:sz="4" w:space="1" w:color="auto"/>
          <w:left w:val="single" w:sz="4" w:space="4" w:color="auto"/>
          <w:bottom w:val="single" w:sz="4" w:space="1" w:color="auto"/>
          <w:right w:val="single" w:sz="4" w:space="4" w:color="auto"/>
        </w:pBdr>
        <w:jc w:val="both"/>
        <w:rPr>
          <w:rFonts w:ascii="Arial" w:hAnsi="Arial"/>
          <w:sz w:val="22"/>
          <w:szCs w:val="22"/>
        </w:rPr>
      </w:pPr>
    </w:p>
    <w:p w14:paraId="11968884" w14:textId="6CDCC14E" w:rsidR="00D772E3" w:rsidRPr="006A6848" w:rsidRDefault="00B723ED" w:rsidP="00D772E3">
      <w:pPr>
        <w:pBdr>
          <w:top w:val="single" w:sz="4" w:space="1" w:color="auto"/>
          <w:left w:val="single" w:sz="4" w:space="4" w:color="auto"/>
          <w:bottom w:val="single" w:sz="4" w:space="1" w:color="auto"/>
          <w:right w:val="single" w:sz="4" w:space="4" w:color="auto"/>
        </w:pBdr>
        <w:jc w:val="both"/>
        <w:rPr>
          <w:rFonts w:ascii="Arial" w:hAnsi="Arial"/>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ADD</m:t>
              </m:r>
            </m:e>
            <m:sub>
              <m:r>
                <w:rPr>
                  <w:rFonts w:ascii="Cambria Math" w:hAnsi="Cambria Math"/>
                  <w:sz w:val="22"/>
                  <w:szCs w:val="22"/>
                </w:rPr>
                <m:t>C</m:t>
              </m:r>
            </m:sub>
          </m:sSub>
          <m:r>
            <w:rPr>
              <w:rFonts w:ascii="Cambria Math" w:hAnsi="Cambria Math"/>
              <w:sz w:val="22"/>
              <w:szCs w:val="22"/>
            </w:rPr>
            <m:t xml:space="preserve"> = </m:t>
          </m:r>
          <m:d>
            <m:dPr>
              <m:begChr m:val="["/>
              <m:endChr m:val="]"/>
              <m:ctrlPr>
                <w:rPr>
                  <w:rFonts w:ascii="Cambria Math" w:hAnsi="Cambria Math"/>
                  <w:i/>
                  <w:sz w:val="22"/>
                  <w:szCs w:val="22"/>
                </w:rPr>
              </m:ctrlPr>
            </m:d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A</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IR</m:t>
                      </m:r>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A</m:t>
                      </m:r>
                    </m:sub>
                  </m:sSub>
                </m:e>
              </m:d>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IR</m:t>
                      </m:r>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S</m:t>
                      </m:r>
                    </m:sub>
                  </m:sSub>
                </m:e>
              </m:d>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SW</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IR</m:t>
                      </m:r>
                    </m:e>
                    <m:sub>
                      <m:r>
                        <w:rPr>
                          <w:rFonts w:ascii="Cambria Math" w:hAnsi="Cambria Math"/>
                          <w:sz w:val="22"/>
                          <w:szCs w:val="22"/>
                        </w:rPr>
                        <m:t>SW</m:t>
                      </m:r>
                    </m:sub>
                  </m:sSub>
                </m:e>
              </m:d>
            </m:e>
          </m:d>
          <m:r>
            <w:rPr>
              <w:rFonts w:ascii="Cambria Math" w:hAnsi="Cambria Math"/>
              <w:sz w:val="22"/>
              <w:szCs w:val="22"/>
            </w:rPr>
            <m:t>×AUF/BW</m:t>
          </m:r>
        </m:oMath>
      </m:oMathPara>
    </w:p>
    <w:p w14:paraId="56FFEEBE" w14:textId="77777777" w:rsidR="00D772E3" w:rsidRDefault="00D772E3" w:rsidP="00D772E3">
      <w:pPr>
        <w:pBdr>
          <w:top w:val="single" w:sz="4" w:space="1" w:color="auto"/>
          <w:left w:val="single" w:sz="4" w:space="4" w:color="auto"/>
          <w:bottom w:val="single" w:sz="4" w:space="1" w:color="auto"/>
          <w:right w:val="single" w:sz="4" w:space="4" w:color="auto"/>
        </w:pBdr>
        <w:jc w:val="both"/>
        <w:rPr>
          <w:rFonts w:ascii="Arial" w:hAnsi="Arial"/>
          <w:sz w:val="22"/>
          <w:szCs w:val="22"/>
        </w:rPr>
      </w:pPr>
    </w:p>
    <w:p w14:paraId="3376D11B" w14:textId="77777777" w:rsidR="00D772E3" w:rsidRDefault="00D772E3" w:rsidP="00D772E3">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where:</w:t>
      </w:r>
    </w:p>
    <w:p w14:paraId="0087EB5F" w14:textId="0DA876C7" w:rsidR="00D772E3" w:rsidRDefault="00D772E3" w:rsidP="00D772E3">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ADD</w:t>
      </w:r>
      <w:r w:rsidR="00B338C6">
        <w:rPr>
          <w:rFonts w:ascii="Arial" w:hAnsi="Arial"/>
          <w:sz w:val="22"/>
          <w:szCs w:val="22"/>
          <w:vertAlign w:val="subscript"/>
        </w:rPr>
        <w:t>C</w:t>
      </w:r>
      <w:r>
        <w:rPr>
          <w:rFonts w:ascii="Arial" w:hAnsi="Arial"/>
          <w:sz w:val="22"/>
          <w:szCs w:val="22"/>
        </w:rPr>
        <w:t xml:space="preserve"> </w:t>
      </w:r>
      <w:r>
        <w:rPr>
          <w:rFonts w:ascii="Arial" w:hAnsi="Arial"/>
          <w:sz w:val="22"/>
          <w:szCs w:val="22"/>
        </w:rPr>
        <w:tab/>
        <w:t xml:space="preserve">= Average daily dose for </w:t>
      </w:r>
      <w:r w:rsidR="00B338C6">
        <w:rPr>
          <w:rFonts w:ascii="Arial" w:hAnsi="Arial"/>
          <w:sz w:val="22"/>
          <w:szCs w:val="22"/>
        </w:rPr>
        <w:t>car</w:t>
      </w:r>
      <w:r>
        <w:rPr>
          <w:rFonts w:ascii="Arial" w:hAnsi="Arial"/>
          <w:sz w:val="22"/>
          <w:szCs w:val="22"/>
        </w:rPr>
        <w:t>nivores (mg/kg-d)</w:t>
      </w:r>
    </w:p>
    <w:p w14:paraId="0A5EA097" w14:textId="103C31F1" w:rsidR="00D772E3" w:rsidRDefault="00D772E3" w:rsidP="00D772E3">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IR</w:t>
      </w:r>
      <w:r>
        <w:rPr>
          <w:rFonts w:ascii="Arial" w:hAnsi="Arial"/>
          <w:sz w:val="22"/>
          <w:szCs w:val="22"/>
          <w:vertAlign w:val="subscript"/>
        </w:rPr>
        <w:t>F</w:t>
      </w:r>
      <w:r>
        <w:rPr>
          <w:rFonts w:ascii="Arial" w:hAnsi="Arial"/>
          <w:sz w:val="22"/>
          <w:szCs w:val="22"/>
        </w:rPr>
        <w:t xml:space="preserve"> </w:t>
      </w:r>
      <w:r>
        <w:rPr>
          <w:rFonts w:ascii="Arial" w:hAnsi="Arial"/>
          <w:sz w:val="22"/>
          <w:szCs w:val="22"/>
        </w:rPr>
        <w:tab/>
        <w:t>= Food ingestion rate (kg/d)</w:t>
      </w:r>
    </w:p>
    <w:p w14:paraId="6B436ABD" w14:textId="77777777" w:rsidR="00D772E3" w:rsidRDefault="00D772E3" w:rsidP="00D772E3">
      <w:pPr>
        <w:pBdr>
          <w:top w:val="single" w:sz="4" w:space="1" w:color="auto"/>
          <w:left w:val="single" w:sz="4" w:space="4" w:color="auto"/>
          <w:bottom w:val="single" w:sz="4" w:space="1" w:color="auto"/>
          <w:right w:val="single" w:sz="4" w:space="4" w:color="auto"/>
        </w:pBdr>
        <w:ind w:firstLine="720"/>
        <w:jc w:val="both"/>
        <w:rPr>
          <w:rFonts w:ascii="Arial" w:hAnsi="Arial"/>
          <w:sz w:val="22"/>
          <w:szCs w:val="22"/>
        </w:rPr>
      </w:pPr>
      <w:r>
        <w:rPr>
          <w:rFonts w:ascii="Arial" w:hAnsi="Arial"/>
          <w:sz w:val="22"/>
          <w:szCs w:val="22"/>
        </w:rPr>
        <w:t>C</w:t>
      </w:r>
      <w:r>
        <w:rPr>
          <w:rFonts w:ascii="Arial" w:hAnsi="Arial"/>
          <w:sz w:val="22"/>
          <w:szCs w:val="22"/>
          <w:vertAlign w:val="subscript"/>
        </w:rPr>
        <w:t>A</w:t>
      </w:r>
      <w:r>
        <w:rPr>
          <w:rFonts w:ascii="Arial" w:hAnsi="Arial"/>
          <w:sz w:val="22"/>
          <w:szCs w:val="22"/>
        </w:rPr>
        <w:t xml:space="preserve"> </w:t>
      </w:r>
      <w:r>
        <w:rPr>
          <w:rFonts w:ascii="Arial" w:hAnsi="Arial"/>
          <w:sz w:val="22"/>
          <w:szCs w:val="22"/>
        </w:rPr>
        <w:tab/>
        <w:t>= COPEC concentration in sediment/soil (mg/kg)</w:t>
      </w:r>
    </w:p>
    <w:p w14:paraId="1462C31C" w14:textId="77777777" w:rsidR="00D772E3" w:rsidRDefault="00D772E3" w:rsidP="00D772E3">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F</w:t>
      </w:r>
      <w:r>
        <w:rPr>
          <w:rFonts w:ascii="Arial" w:hAnsi="Arial"/>
          <w:sz w:val="22"/>
          <w:szCs w:val="22"/>
          <w:vertAlign w:val="subscript"/>
        </w:rPr>
        <w:t>A</w:t>
      </w:r>
      <w:r>
        <w:rPr>
          <w:rFonts w:ascii="Arial" w:hAnsi="Arial"/>
          <w:sz w:val="22"/>
          <w:szCs w:val="22"/>
        </w:rPr>
        <w:t xml:space="preserve"> </w:t>
      </w:r>
      <w:r>
        <w:rPr>
          <w:rFonts w:ascii="Arial" w:hAnsi="Arial"/>
          <w:sz w:val="22"/>
          <w:szCs w:val="22"/>
        </w:rPr>
        <w:tab/>
        <w:t>= Fraction of diet comprised of prey animal (unitless)</w:t>
      </w:r>
    </w:p>
    <w:p w14:paraId="2BE3B2C2" w14:textId="77777777" w:rsidR="00D772E3" w:rsidRDefault="00D772E3" w:rsidP="00D772E3">
      <w:pPr>
        <w:pBdr>
          <w:top w:val="single" w:sz="4" w:space="1" w:color="auto"/>
          <w:left w:val="single" w:sz="4" w:space="4" w:color="auto"/>
          <w:bottom w:val="single" w:sz="4" w:space="1" w:color="auto"/>
          <w:right w:val="single" w:sz="4" w:space="4" w:color="auto"/>
        </w:pBdr>
        <w:ind w:firstLine="720"/>
        <w:jc w:val="both"/>
        <w:rPr>
          <w:rFonts w:ascii="Arial" w:hAnsi="Arial"/>
          <w:sz w:val="22"/>
          <w:szCs w:val="22"/>
        </w:rPr>
      </w:pPr>
      <w:r>
        <w:rPr>
          <w:rFonts w:ascii="Arial" w:hAnsi="Arial"/>
          <w:sz w:val="22"/>
          <w:szCs w:val="22"/>
        </w:rPr>
        <w:t>C</w:t>
      </w:r>
      <w:r>
        <w:rPr>
          <w:rFonts w:ascii="Arial" w:hAnsi="Arial"/>
          <w:sz w:val="22"/>
          <w:szCs w:val="22"/>
          <w:vertAlign w:val="subscript"/>
        </w:rPr>
        <w:t>A</w:t>
      </w:r>
      <w:r>
        <w:rPr>
          <w:rFonts w:ascii="Arial" w:hAnsi="Arial"/>
          <w:sz w:val="22"/>
          <w:szCs w:val="22"/>
        </w:rPr>
        <w:t xml:space="preserve"> </w:t>
      </w:r>
      <w:r>
        <w:rPr>
          <w:rFonts w:ascii="Arial" w:hAnsi="Arial"/>
          <w:sz w:val="22"/>
          <w:szCs w:val="22"/>
        </w:rPr>
        <w:tab/>
        <w:t>= COPEC concentration in prey animal (mg/kg)</w:t>
      </w:r>
    </w:p>
    <w:p w14:paraId="594D8F0C" w14:textId="77777777" w:rsidR="00D772E3" w:rsidRDefault="00D772E3" w:rsidP="00D772E3">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F</w:t>
      </w:r>
      <w:r>
        <w:rPr>
          <w:rFonts w:ascii="Arial" w:hAnsi="Arial"/>
          <w:sz w:val="22"/>
          <w:szCs w:val="22"/>
          <w:vertAlign w:val="subscript"/>
        </w:rPr>
        <w:t>S</w:t>
      </w:r>
      <w:r>
        <w:rPr>
          <w:rFonts w:ascii="Arial" w:hAnsi="Arial"/>
          <w:sz w:val="22"/>
          <w:szCs w:val="22"/>
        </w:rPr>
        <w:t xml:space="preserve"> </w:t>
      </w:r>
      <w:r>
        <w:rPr>
          <w:rFonts w:ascii="Arial" w:hAnsi="Arial"/>
          <w:sz w:val="22"/>
          <w:szCs w:val="22"/>
        </w:rPr>
        <w:tab/>
        <w:t>= Fraction of diet comprised of sediment/soil (unitless)</w:t>
      </w:r>
    </w:p>
    <w:p w14:paraId="0F759FA5" w14:textId="77777777" w:rsidR="00D772E3" w:rsidRDefault="00D772E3" w:rsidP="00D772E3">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C</w:t>
      </w:r>
      <w:r>
        <w:rPr>
          <w:rFonts w:ascii="Arial" w:hAnsi="Arial"/>
          <w:sz w:val="22"/>
          <w:szCs w:val="22"/>
          <w:vertAlign w:val="subscript"/>
        </w:rPr>
        <w:t>SW</w:t>
      </w:r>
      <w:r>
        <w:rPr>
          <w:rFonts w:ascii="Arial" w:hAnsi="Arial"/>
          <w:sz w:val="22"/>
          <w:szCs w:val="22"/>
        </w:rPr>
        <w:t xml:space="preserve"> </w:t>
      </w:r>
      <w:r>
        <w:rPr>
          <w:rFonts w:ascii="Arial" w:hAnsi="Arial"/>
          <w:sz w:val="22"/>
          <w:szCs w:val="22"/>
        </w:rPr>
        <w:tab/>
        <w:t>= COPEC concentration in plant matter (mg/kg)</w:t>
      </w:r>
    </w:p>
    <w:p w14:paraId="2E7A4014" w14:textId="77777777" w:rsidR="00D772E3" w:rsidRDefault="00D772E3" w:rsidP="00D772E3">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IR</w:t>
      </w:r>
      <w:r>
        <w:rPr>
          <w:rFonts w:ascii="Arial" w:hAnsi="Arial"/>
          <w:sz w:val="22"/>
          <w:szCs w:val="22"/>
          <w:vertAlign w:val="subscript"/>
        </w:rPr>
        <w:t>SW</w:t>
      </w:r>
      <w:r>
        <w:rPr>
          <w:rFonts w:ascii="Arial" w:hAnsi="Arial"/>
          <w:sz w:val="22"/>
          <w:szCs w:val="22"/>
        </w:rPr>
        <w:t xml:space="preserve"> </w:t>
      </w:r>
      <w:r>
        <w:rPr>
          <w:rFonts w:ascii="Arial" w:hAnsi="Arial"/>
          <w:sz w:val="22"/>
          <w:szCs w:val="22"/>
        </w:rPr>
        <w:tab/>
        <w:t>= Food ingestion rate (kg/d)</w:t>
      </w:r>
    </w:p>
    <w:p w14:paraId="22F90F84" w14:textId="77777777" w:rsidR="00D772E3" w:rsidRDefault="00D772E3" w:rsidP="00D772E3">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 xml:space="preserve">AUF </w:t>
      </w:r>
      <w:r>
        <w:rPr>
          <w:rFonts w:ascii="Arial" w:hAnsi="Arial"/>
          <w:sz w:val="22"/>
          <w:szCs w:val="22"/>
        </w:rPr>
        <w:tab/>
        <w:t>= Area use factor (unitless)</w:t>
      </w:r>
    </w:p>
    <w:p w14:paraId="37B38663" w14:textId="18994F1F" w:rsidR="00D772E3" w:rsidRDefault="00D772E3" w:rsidP="0071686A">
      <w:pPr>
        <w:pBdr>
          <w:top w:val="single" w:sz="4" w:space="1" w:color="auto"/>
          <w:left w:val="single" w:sz="4" w:space="4" w:color="auto"/>
          <w:bottom w:val="single" w:sz="4" w:space="1" w:color="auto"/>
          <w:right w:val="single" w:sz="4" w:space="4" w:color="auto"/>
        </w:pBdr>
        <w:jc w:val="both"/>
        <w:rPr>
          <w:rFonts w:ascii="Arial" w:hAnsi="Arial"/>
          <w:sz w:val="22"/>
          <w:szCs w:val="22"/>
        </w:rPr>
      </w:pPr>
      <w:r>
        <w:rPr>
          <w:rFonts w:ascii="Arial" w:hAnsi="Arial"/>
          <w:sz w:val="22"/>
          <w:szCs w:val="22"/>
        </w:rPr>
        <w:tab/>
        <w:t xml:space="preserve">BW </w:t>
      </w:r>
      <w:r>
        <w:rPr>
          <w:rFonts w:ascii="Arial" w:hAnsi="Arial"/>
          <w:sz w:val="22"/>
          <w:szCs w:val="22"/>
        </w:rPr>
        <w:tab/>
        <w:t>= Body weight (kg)</w:t>
      </w:r>
    </w:p>
    <w:p w14:paraId="350621F8" w14:textId="77777777" w:rsidR="00692DB8" w:rsidRDefault="00692DB8" w:rsidP="00B9194D">
      <w:pPr>
        <w:jc w:val="both"/>
        <w:rPr>
          <w:rFonts w:ascii="Arial" w:hAnsi="Arial"/>
          <w:i/>
          <w:sz w:val="22"/>
          <w:szCs w:val="22"/>
        </w:rPr>
      </w:pPr>
    </w:p>
    <w:p w14:paraId="475206B4" w14:textId="77777777" w:rsidR="00C10F01" w:rsidRPr="00C10F01" w:rsidRDefault="00C10F01" w:rsidP="00B9194D">
      <w:pPr>
        <w:jc w:val="both"/>
        <w:rPr>
          <w:rFonts w:ascii="Arial" w:hAnsi="Arial"/>
          <w:i/>
          <w:sz w:val="22"/>
          <w:szCs w:val="22"/>
        </w:rPr>
      </w:pPr>
      <w:r>
        <w:rPr>
          <w:rFonts w:ascii="Arial" w:hAnsi="Arial"/>
          <w:i/>
          <w:sz w:val="22"/>
          <w:szCs w:val="22"/>
        </w:rPr>
        <w:t>3.</w:t>
      </w:r>
      <w:r w:rsidR="00692DB8">
        <w:rPr>
          <w:rFonts w:ascii="Arial" w:hAnsi="Arial"/>
          <w:i/>
          <w:sz w:val="22"/>
          <w:szCs w:val="22"/>
        </w:rPr>
        <w:t>6</w:t>
      </w:r>
      <w:r>
        <w:rPr>
          <w:rFonts w:ascii="Arial" w:hAnsi="Arial"/>
          <w:i/>
          <w:sz w:val="22"/>
          <w:szCs w:val="22"/>
        </w:rPr>
        <w:t xml:space="preserve"> Bioconcentration and Bioaccumulation </w:t>
      </w:r>
    </w:p>
    <w:p w14:paraId="30D7F88A" w14:textId="77777777" w:rsidR="00CC0948" w:rsidRDefault="00CC0948" w:rsidP="00B9194D">
      <w:pPr>
        <w:jc w:val="both"/>
        <w:rPr>
          <w:rFonts w:ascii="Arial" w:hAnsi="Arial"/>
          <w:sz w:val="22"/>
          <w:szCs w:val="22"/>
        </w:rPr>
      </w:pPr>
    </w:p>
    <w:p w14:paraId="6866951B" w14:textId="77777777" w:rsidR="00544046" w:rsidRDefault="00006FC2" w:rsidP="00B9194D">
      <w:pPr>
        <w:jc w:val="both"/>
        <w:rPr>
          <w:rFonts w:ascii="Arial" w:hAnsi="Arial"/>
          <w:sz w:val="22"/>
          <w:szCs w:val="22"/>
        </w:rPr>
      </w:pPr>
      <w:r>
        <w:rPr>
          <w:rFonts w:ascii="Arial" w:hAnsi="Arial"/>
          <w:sz w:val="22"/>
          <w:szCs w:val="22"/>
        </w:rPr>
        <w:tab/>
        <w:t xml:space="preserve">Bioconcentration </w:t>
      </w:r>
      <w:r w:rsidR="00975CB0">
        <w:rPr>
          <w:rFonts w:ascii="Arial" w:hAnsi="Arial"/>
          <w:sz w:val="22"/>
          <w:szCs w:val="22"/>
        </w:rPr>
        <w:t xml:space="preserve">describes an increase in chemical concentration in an organism from direct exposure to an environmental media.  The bioconcentration factor (BCF) is the ratio of chemical concentration in an organism to the concentration in its environment.  Bioaccumulation is the increase in chemical concentration in an organism from both direct exposure and consumption of prey or food items containing the chemical.  The bioaccumulation factor (BAF) is </w:t>
      </w:r>
      <w:r w:rsidR="00544046">
        <w:rPr>
          <w:rFonts w:ascii="Arial" w:hAnsi="Arial"/>
          <w:sz w:val="22"/>
          <w:szCs w:val="22"/>
        </w:rPr>
        <w:t>identical to the BCF, except that it recognizes the accumulation is from ingestion as well as direct contact.</w:t>
      </w:r>
    </w:p>
    <w:p w14:paraId="427317E2" w14:textId="77777777" w:rsidR="00544046" w:rsidRDefault="00544046" w:rsidP="00006FC2">
      <w:pPr>
        <w:jc w:val="both"/>
        <w:rPr>
          <w:rFonts w:ascii="Arial" w:hAnsi="Arial"/>
          <w:sz w:val="22"/>
          <w:szCs w:val="22"/>
        </w:rPr>
      </w:pPr>
    </w:p>
    <w:p w14:paraId="5468023B" w14:textId="77777777" w:rsidR="0033560D" w:rsidRDefault="0033560D" w:rsidP="0033560D">
      <w:pPr>
        <w:jc w:val="both"/>
        <w:rPr>
          <w:rFonts w:ascii="Arial" w:hAnsi="Arial"/>
          <w:sz w:val="22"/>
          <w:szCs w:val="22"/>
        </w:rPr>
      </w:pPr>
      <w:r>
        <w:rPr>
          <w:rFonts w:ascii="Arial" w:hAnsi="Arial"/>
          <w:sz w:val="22"/>
          <w:szCs w:val="22"/>
        </w:rPr>
        <w:tab/>
      </w:r>
      <w:r w:rsidR="004A0955">
        <w:rPr>
          <w:rFonts w:ascii="Arial" w:hAnsi="Arial"/>
          <w:sz w:val="22"/>
          <w:szCs w:val="22"/>
        </w:rPr>
        <w:t xml:space="preserve">Field and laboratory bioaccumulation studies are the </w:t>
      </w:r>
      <w:r w:rsidR="00550A74">
        <w:rPr>
          <w:rFonts w:ascii="Arial" w:hAnsi="Arial"/>
          <w:sz w:val="22"/>
          <w:szCs w:val="22"/>
        </w:rPr>
        <w:t>most common</w:t>
      </w:r>
      <w:r w:rsidR="004A0955">
        <w:rPr>
          <w:rFonts w:ascii="Arial" w:hAnsi="Arial"/>
          <w:sz w:val="22"/>
          <w:szCs w:val="22"/>
        </w:rPr>
        <w:t xml:space="preserve"> methods </w:t>
      </w:r>
      <w:r w:rsidR="00550A74">
        <w:rPr>
          <w:rFonts w:ascii="Arial" w:hAnsi="Arial"/>
          <w:sz w:val="22"/>
          <w:szCs w:val="22"/>
        </w:rPr>
        <w:t>for deriving</w:t>
      </w:r>
      <w:r w:rsidR="004A0955">
        <w:rPr>
          <w:rFonts w:ascii="Arial" w:hAnsi="Arial"/>
          <w:sz w:val="22"/>
          <w:szCs w:val="22"/>
        </w:rPr>
        <w:t xml:space="preserve"> site-specific BAFs.</w:t>
      </w:r>
      <w:r w:rsidR="00550A74">
        <w:rPr>
          <w:rFonts w:ascii="Arial" w:hAnsi="Arial"/>
          <w:sz w:val="22"/>
          <w:szCs w:val="22"/>
        </w:rPr>
        <w:t xml:space="preserve">  </w:t>
      </w:r>
      <w:r w:rsidR="0043125D">
        <w:rPr>
          <w:rFonts w:ascii="Arial" w:hAnsi="Arial"/>
          <w:sz w:val="22"/>
          <w:szCs w:val="22"/>
        </w:rPr>
        <w:t xml:space="preserve">Laboratory studies are usually performed on smaller prey species such as invertebrates or </w:t>
      </w:r>
      <w:r w:rsidR="00614750">
        <w:rPr>
          <w:rFonts w:ascii="Arial" w:hAnsi="Arial"/>
          <w:sz w:val="22"/>
          <w:szCs w:val="22"/>
        </w:rPr>
        <w:t>minnows</w:t>
      </w:r>
      <w:r w:rsidR="0043125D">
        <w:rPr>
          <w:rFonts w:ascii="Arial" w:hAnsi="Arial"/>
          <w:sz w:val="22"/>
          <w:szCs w:val="22"/>
        </w:rPr>
        <w:t xml:space="preserve">.  </w:t>
      </w:r>
      <w:r w:rsidR="00550A74">
        <w:rPr>
          <w:rFonts w:ascii="Arial" w:hAnsi="Arial"/>
          <w:sz w:val="22"/>
          <w:szCs w:val="22"/>
        </w:rPr>
        <w:t xml:space="preserve">Tissue samples from </w:t>
      </w:r>
      <w:r w:rsidR="00A94968">
        <w:rPr>
          <w:rFonts w:ascii="Arial" w:hAnsi="Arial"/>
          <w:sz w:val="22"/>
          <w:szCs w:val="22"/>
        </w:rPr>
        <w:t>bioaccumulation studies</w:t>
      </w:r>
      <w:r w:rsidR="00550A74">
        <w:rPr>
          <w:rFonts w:ascii="Arial" w:hAnsi="Arial"/>
          <w:sz w:val="22"/>
          <w:szCs w:val="22"/>
        </w:rPr>
        <w:t xml:space="preserve"> provide a direct measure of chemical uptake at the site.</w:t>
      </w:r>
      <w:r w:rsidR="00BD42AF">
        <w:rPr>
          <w:rFonts w:ascii="Arial" w:hAnsi="Arial"/>
          <w:sz w:val="22"/>
          <w:szCs w:val="22"/>
        </w:rPr>
        <w:t xml:space="preserve">  These BAFs can </w:t>
      </w:r>
      <w:r w:rsidR="00672715">
        <w:rPr>
          <w:rFonts w:ascii="Arial" w:hAnsi="Arial"/>
          <w:sz w:val="22"/>
          <w:szCs w:val="22"/>
        </w:rPr>
        <w:t>also</w:t>
      </w:r>
      <w:r w:rsidR="00BD42AF">
        <w:rPr>
          <w:rFonts w:ascii="Arial" w:hAnsi="Arial"/>
          <w:sz w:val="22"/>
          <w:szCs w:val="22"/>
        </w:rPr>
        <w:t xml:space="preserve"> be used in modeling tissue concentrations for higher trophic levels or protected species.</w:t>
      </w:r>
    </w:p>
    <w:p w14:paraId="352A7610" w14:textId="77777777" w:rsidR="00BE6F3B" w:rsidRDefault="00BE6F3B" w:rsidP="0033560D">
      <w:pPr>
        <w:jc w:val="both"/>
        <w:rPr>
          <w:rFonts w:ascii="Arial" w:hAnsi="Arial"/>
          <w:sz w:val="22"/>
          <w:szCs w:val="22"/>
        </w:rPr>
      </w:pPr>
    </w:p>
    <w:p w14:paraId="39001B7B" w14:textId="77777777" w:rsidR="00BE6F3B" w:rsidRDefault="00BE6F3B" w:rsidP="00BE6F3B">
      <w:pPr>
        <w:ind w:firstLine="720"/>
        <w:jc w:val="both"/>
        <w:rPr>
          <w:rFonts w:ascii="Arial" w:hAnsi="Arial"/>
          <w:sz w:val="22"/>
          <w:szCs w:val="22"/>
        </w:rPr>
      </w:pPr>
      <w:r>
        <w:rPr>
          <w:rFonts w:ascii="Arial" w:hAnsi="Arial"/>
          <w:sz w:val="22"/>
          <w:szCs w:val="22"/>
        </w:rPr>
        <w:t xml:space="preserve">Bioaccumulation studies in Florida follow the methodology outlined in </w:t>
      </w:r>
      <w:hyperlink r:id="rId33" w:history="1">
        <w:r w:rsidRPr="00254385">
          <w:rPr>
            <w:rStyle w:val="Hyperlink"/>
            <w:rFonts w:ascii="Arial" w:hAnsi="Arial"/>
            <w:i/>
            <w:sz w:val="22"/>
            <w:szCs w:val="22"/>
          </w:rPr>
          <w:t>A Guidance Manual to Support the Assessment of Contaminated Sediments in Freshwater Ecosystems, Volume III</w:t>
        </w:r>
      </w:hyperlink>
      <w:r>
        <w:rPr>
          <w:rFonts w:ascii="Arial" w:hAnsi="Arial"/>
          <w:i/>
          <w:sz w:val="22"/>
          <w:szCs w:val="22"/>
        </w:rPr>
        <w:t xml:space="preserve"> </w:t>
      </w:r>
      <w:r>
        <w:rPr>
          <w:rFonts w:ascii="Arial" w:hAnsi="Arial"/>
          <w:sz w:val="22"/>
          <w:szCs w:val="22"/>
        </w:rPr>
        <w:t xml:space="preserve">(MacDonald and Ingersoll, 2002). Recommended </w:t>
      </w:r>
      <w:r w:rsidR="00A94968">
        <w:rPr>
          <w:rFonts w:ascii="Arial" w:hAnsi="Arial"/>
          <w:sz w:val="22"/>
          <w:szCs w:val="22"/>
        </w:rPr>
        <w:t xml:space="preserve">bioaccumulation </w:t>
      </w:r>
      <w:r>
        <w:rPr>
          <w:rFonts w:ascii="Arial" w:hAnsi="Arial"/>
          <w:sz w:val="22"/>
          <w:szCs w:val="22"/>
        </w:rPr>
        <w:t>test methods are published in a memorandum available from the Florida Department of Environmental Protection (</w:t>
      </w:r>
      <w:hyperlink r:id="rId34" w:history="1">
        <w:r w:rsidRPr="004B7DE9">
          <w:rPr>
            <w:rStyle w:val="Hyperlink"/>
            <w:rFonts w:ascii="Arial" w:hAnsi="Arial"/>
            <w:sz w:val="22"/>
            <w:szCs w:val="22"/>
          </w:rPr>
          <w:t>http://www.dep.state.fl.us/waste/quick_topics/publications/documents/ToxicityTestMethodsJune242004.pdf</w:t>
        </w:r>
      </w:hyperlink>
      <w:r>
        <w:rPr>
          <w:rFonts w:ascii="Arial" w:hAnsi="Arial"/>
          <w:sz w:val="22"/>
          <w:szCs w:val="22"/>
        </w:rPr>
        <w:t xml:space="preserve">).  </w:t>
      </w:r>
      <w:r w:rsidR="00A94968">
        <w:rPr>
          <w:rFonts w:ascii="Arial" w:hAnsi="Arial"/>
          <w:sz w:val="22"/>
          <w:szCs w:val="22"/>
        </w:rPr>
        <w:t xml:space="preserve">These studies are approximately 28 days in length.  </w:t>
      </w:r>
    </w:p>
    <w:p w14:paraId="542B0517" w14:textId="77777777" w:rsidR="007A522B" w:rsidRDefault="007A522B" w:rsidP="0033560D">
      <w:pPr>
        <w:jc w:val="both"/>
        <w:rPr>
          <w:rFonts w:ascii="Arial" w:hAnsi="Arial"/>
          <w:sz w:val="22"/>
          <w:szCs w:val="22"/>
        </w:rPr>
      </w:pPr>
    </w:p>
    <w:p w14:paraId="116F212B" w14:textId="77777777" w:rsidR="007A522B" w:rsidRPr="007A522B" w:rsidRDefault="007A522B" w:rsidP="0033560D">
      <w:pPr>
        <w:jc w:val="both"/>
        <w:rPr>
          <w:rFonts w:ascii="Arial" w:hAnsi="Arial"/>
          <w:b/>
          <w:sz w:val="22"/>
          <w:szCs w:val="22"/>
        </w:rPr>
      </w:pPr>
      <w:r>
        <w:rPr>
          <w:rFonts w:ascii="Arial" w:hAnsi="Arial"/>
          <w:b/>
          <w:sz w:val="22"/>
          <w:szCs w:val="22"/>
        </w:rPr>
        <w:t>4. Tier III – Highly Specialized or Long-Term Site-Specific Investigations</w:t>
      </w:r>
    </w:p>
    <w:p w14:paraId="6F5831FB" w14:textId="77777777" w:rsidR="00113BA5" w:rsidRDefault="00113BA5" w:rsidP="0033560D">
      <w:pPr>
        <w:jc w:val="both"/>
        <w:rPr>
          <w:rFonts w:ascii="Arial" w:hAnsi="Arial"/>
          <w:sz w:val="22"/>
          <w:szCs w:val="22"/>
        </w:rPr>
      </w:pPr>
    </w:p>
    <w:p w14:paraId="25824F57" w14:textId="77777777" w:rsidR="00BF2CCF" w:rsidRDefault="006B1B21" w:rsidP="006B1B21">
      <w:pPr>
        <w:jc w:val="both"/>
        <w:rPr>
          <w:rFonts w:ascii="Arial" w:hAnsi="Arial"/>
          <w:i/>
          <w:sz w:val="22"/>
          <w:szCs w:val="22"/>
        </w:rPr>
      </w:pPr>
      <w:r>
        <w:rPr>
          <w:rFonts w:ascii="Arial" w:hAnsi="Arial"/>
          <w:i/>
          <w:sz w:val="22"/>
          <w:szCs w:val="22"/>
        </w:rPr>
        <w:t>4.1</w:t>
      </w:r>
      <w:r w:rsidR="006B6DBF">
        <w:rPr>
          <w:rFonts w:ascii="Arial" w:hAnsi="Arial"/>
          <w:i/>
          <w:sz w:val="22"/>
          <w:szCs w:val="22"/>
        </w:rPr>
        <w:t xml:space="preserve"> </w:t>
      </w:r>
      <w:r w:rsidR="00215D66">
        <w:rPr>
          <w:rFonts w:ascii="Arial" w:hAnsi="Arial"/>
          <w:i/>
          <w:sz w:val="22"/>
          <w:szCs w:val="22"/>
        </w:rPr>
        <w:t xml:space="preserve">Developing Toxicity Reference Values </w:t>
      </w:r>
    </w:p>
    <w:p w14:paraId="132A787A" w14:textId="77777777" w:rsidR="002A0236" w:rsidRDefault="002A0236" w:rsidP="006B1B21">
      <w:pPr>
        <w:jc w:val="both"/>
        <w:rPr>
          <w:rFonts w:ascii="Arial" w:hAnsi="Arial"/>
          <w:i/>
          <w:sz w:val="22"/>
          <w:szCs w:val="22"/>
        </w:rPr>
      </w:pPr>
    </w:p>
    <w:p w14:paraId="5F5C98D1" w14:textId="77777777" w:rsidR="00372B73" w:rsidRPr="002A0236" w:rsidRDefault="00FA4F13" w:rsidP="006B1B21">
      <w:pPr>
        <w:jc w:val="both"/>
        <w:rPr>
          <w:rFonts w:ascii="Arial" w:hAnsi="Arial"/>
          <w:sz w:val="22"/>
          <w:szCs w:val="22"/>
        </w:rPr>
      </w:pPr>
      <w:r>
        <w:rPr>
          <w:rFonts w:ascii="Arial" w:hAnsi="Arial"/>
          <w:sz w:val="22"/>
          <w:szCs w:val="22"/>
        </w:rPr>
        <w:tab/>
        <w:t xml:space="preserve">The US Army Center for Health Promotion and Preventative Medicine (CHPPM) published a standard practice for the development of wildlife toxicity reference values </w:t>
      </w:r>
      <w:r w:rsidR="0078743D">
        <w:rPr>
          <w:rFonts w:ascii="Arial" w:hAnsi="Arial"/>
          <w:sz w:val="22"/>
          <w:szCs w:val="22"/>
        </w:rPr>
        <w:t xml:space="preserve">(TRVs) in 2000.  </w:t>
      </w:r>
      <w:r w:rsidR="00917577">
        <w:rPr>
          <w:rFonts w:ascii="Arial" w:hAnsi="Arial"/>
          <w:sz w:val="22"/>
          <w:szCs w:val="22"/>
        </w:rPr>
        <w:t>This guidance describes an accepted methodology for performing a literature search</w:t>
      </w:r>
      <w:r w:rsidR="004D6E25">
        <w:rPr>
          <w:rFonts w:ascii="Arial" w:hAnsi="Arial"/>
          <w:sz w:val="22"/>
          <w:szCs w:val="22"/>
        </w:rPr>
        <w:t>,</w:t>
      </w:r>
      <w:r w:rsidR="0078743D">
        <w:rPr>
          <w:rFonts w:ascii="Arial" w:hAnsi="Arial"/>
          <w:sz w:val="22"/>
          <w:szCs w:val="22"/>
        </w:rPr>
        <w:t xml:space="preserve"> identification of relevant studies, and preparation of a toxicity profile. </w:t>
      </w:r>
      <w:r w:rsidR="004D6E25">
        <w:rPr>
          <w:rFonts w:ascii="Arial" w:hAnsi="Arial"/>
          <w:sz w:val="22"/>
          <w:szCs w:val="22"/>
        </w:rPr>
        <w:t xml:space="preserve">We recommend using this guidance as a reference for the </w:t>
      </w:r>
      <w:r w:rsidR="00917577">
        <w:rPr>
          <w:rFonts w:ascii="Arial" w:hAnsi="Arial"/>
          <w:sz w:val="22"/>
          <w:szCs w:val="22"/>
        </w:rPr>
        <w:t>initial</w:t>
      </w:r>
      <w:r w:rsidR="004D6E25">
        <w:rPr>
          <w:rFonts w:ascii="Arial" w:hAnsi="Arial"/>
          <w:sz w:val="22"/>
          <w:szCs w:val="22"/>
        </w:rPr>
        <w:t xml:space="preserve"> phase of TRV </w:t>
      </w:r>
      <w:r w:rsidR="004D6E25">
        <w:rPr>
          <w:rFonts w:ascii="Arial" w:hAnsi="Arial"/>
          <w:sz w:val="22"/>
          <w:szCs w:val="22"/>
        </w:rPr>
        <w:lastRenderedPageBreak/>
        <w:t>development.</w:t>
      </w:r>
      <w:r w:rsidR="00955214">
        <w:rPr>
          <w:rFonts w:ascii="Arial" w:hAnsi="Arial"/>
          <w:sz w:val="22"/>
          <w:szCs w:val="22"/>
        </w:rPr>
        <w:t xml:space="preserve">  </w:t>
      </w:r>
      <w:r w:rsidR="00372B73">
        <w:rPr>
          <w:rFonts w:ascii="Arial" w:hAnsi="Arial"/>
          <w:sz w:val="22"/>
          <w:szCs w:val="22"/>
        </w:rPr>
        <w:t>When all of the relevant toxicity data are compiled, a TRV can be derived.</w:t>
      </w:r>
      <w:r w:rsidR="007D382E">
        <w:rPr>
          <w:rFonts w:ascii="Arial" w:hAnsi="Arial"/>
          <w:sz w:val="22"/>
          <w:szCs w:val="22"/>
        </w:rPr>
        <w:t xml:space="preserve">  Approaches to the derivation of a TRV are discussed below.</w:t>
      </w:r>
    </w:p>
    <w:p w14:paraId="7E5F621D" w14:textId="77777777" w:rsidR="00215D66" w:rsidRDefault="00215D66" w:rsidP="006B1B21">
      <w:pPr>
        <w:jc w:val="both"/>
        <w:rPr>
          <w:rFonts w:ascii="Arial" w:hAnsi="Arial"/>
          <w:sz w:val="22"/>
          <w:szCs w:val="22"/>
        </w:rPr>
      </w:pPr>
    </w:p>
    <w:p w14:paraId="2C43EAB9" w14:textId="77777777" w:rsidR="00215D66" w:rsidRDefault="00215D66" w:rsidP="006B1B21">
      <w:pPr>
        <w:jc w:val="both"/>
        <w:rPr>
          <w:rFonts w:ascii="Arial" w:hAnsi="Arial"/>
          <w:sz w:val="22"/>
          <w:szCs w:val="22"/>
          <w:u w:val="single"/>
        </w:rPr>
      </w:pPr>
      <w:r w:rsidRPr="004C53A3">
        <w:rPr>
          <w:rFonts w:ascii="Arial" w:hAnsi="Arial"/>
          <w:sz w:val="22"/>
          <w:szCs w:val="22"/>
          <w:u w:val="single"/>
        </w:rPr>
        <w:t xml:space="preserve">4.1.1 </w:t>
      </w:r>
      <w:r>
        <w:rPr>
          <w:rFonts w:ascii="Arial" w:hAnsi="Arial"/>
          <w:sz w:val="22"/>
          <w:szCs w:val="22"/>
          <w:u w:val="single"/>
        </w:rPr>
        <w:t>Point of Departure Approach</w:t>
      </w:r>
    </w:p>
    <w:p w14:paraId="44907C2B" w14:textId="77777777" w:rsidR="007D382E" w:rsidRDefault="007D382E" w:rsidP="006B1B21">
      <w:pPr>
        <w:jc w:val="both"/>
        <w:rPr>
          <w:rFonts w:ascii="Arial" w:hAnsi="Arial"/>
          <w:sz w:val="22"/>
          <w:szCs w:val="22"/>
          <w:u w:val="single"/>
        </w:rPr>
      </w:pPr>
    </w:p>
    <w:p w14:paraId="75F869F7" w14:textId="77777777" w:rsidR="007D382E" w:rsidRDefault="007D382E" w:rsidP="006B1B21">
      <w:pPr>
        <w:jc w:val="both"/>
        <w:rPr>
          <w:rFonts w:ascii="Arial" w:hAnsi="Arial"/>
          <w:sz w:val="22"/>
          <w:szCs w:val="22"/>
        </w:rPr>
      </w:pPr>
      <w:r>
        <w:rPr>
          <w:rFonts w:ascii="Arial" w:hAnsi="Arial"/>
          <w:sz w:val="22"/>
          <w:szCs w:val="22"/>
        </w:rPr>
        <w:tab/>
      </w:r>
      <w:r w:rsidR="00765C77">
        <w:rPr>
          <w:rFonts w:ascii="Arial" w:hAnsi="Arial"/>
          <w:sz w:val="22"/>
          <w:szCs w:val="22"/>
        </w:rPr>
        <w:t xml:space="preserve">When dose-response data are available for one or more species, a point of departure (POD) can be used to develop the TRV.  Ideally, the POD would be derived using a benchmark dose (BMD) approach.  If </w:t>
      </w:r>
      <w:r w:rsidR="00100F05">
        <w:rPr>
          <w:rFonts w:ascii="Arial" w:hAnsi="Arial"/>
          <w:sz w:val="22"/>
          <w:szCs w:val="22"/>
        </w:rPr>
        <w:t>the dose-response</w:t>
      </w:r>
      <w:r w:rsidR="00765C77">
        <w:rPr>
          <w:rFonts w:ascii="Arial" w:hAnsi="Arial"/>
          <w:sz w:val="22"/>
          <w:szCs w:val="22"/>
        </w:rPr>
        <w:t xml:space="preserve"> data are not available to derive a BMD</w:t>
      </w:r>
      <w:r w:rsidR="00100F05">
        <w:rPr>
          <w:rFonts w:ascii="Arial" w:hAnsi="Arial"/>
          <w:sz w:val="22"/>
          <w:szCs w:val="22"/>
        </w:rPr>
        <w:t xml:space="preserve"> or if the data do not adequately fit the models</w:t>
      </w:r>
      <w:r w:rsidR="00765C77">
        <w:rPr>
          <w:rFonts w:ascii="Arial" w:hAnsi="Arial"/>
          <w:sz w:val="22"/>
          <w:szCs w:val="22"/>
        </w:rPr>
        <w:t xml:space="preserve">, then the no observable adverse effect level (NOAEL) </w:t>
      </w:r>
      <w:r w:rsidR="00D07828">
        <w:rPr>
          <w:rFonts w:ascii="Arial" w:hAnsi="Arial"/>
          <w:sz w:val="22"/>
          <w:szCs w:val="22"/>
        </w:rPr>
        <w:t>and</w:t>
      </w:r>
      <w:r w:rsidR="00765C77">
        <w:rPr>
          <w:rFonts w:ascii="Arial" w:hAnsi="Arial"/>
          <w:sz w:val="22"/>
          <w:szCs w:val="22"/>
        </w:rPr>
        <w:t xml:space="preserve"> lowest observable adverse effect level (LOAEL) can be </w:t>
      </w:r>
      <w:r w:rsidR="00D07828">
        <w:rPr>
          <w:rFonts w:ascii="Arial" w:hAnsi="Arial"/>
          <w:sz w:val="22"/>
          <w:szCs w:val="22"/>
        </w:rPr>
        <w:t>used to derive TRVs</w:t>
      </w:r>
      <w:r w:rsidR="00765C77">
        <w:rPr>
          <w:rFonts w:ascii="Arial" w:hAnsi="Arial"/>
          <w:sz w:val="22"/>
          <w:szCs w:val="22"/>
        </w:rPr>
        <w:t>.</w:t>
      </w:r>
    </w:p>
    <w:p w14:paraId="56061B98" w14:textId="77777777" w:rsidR="00D07828" w:rsidRDefault="00D07828" w:rsidP="006B1B21">
      <w:pPr>
        <w:jc w:val="both"/>
        <w:rPr>
          <w:rFonts w:ascii="Arial" w:hAnsi="Arial"/>
          <w:sz w:val="22"/>
          <w:szCs w:val="22"/>
        </w:rPr>
      </w:pPr>
    </w:p>
    <w:p w14:paraId="435D8197" w14:textId="77777777" w:rsidR="00D07828" w:rsidRDefault="00D26AB7" w:rsidP="006B1B21">
      <w:pPr>
        <w:jc w:val="both"/>
        <w:rPr>
          <w:rFonts w:ascii="Arial" w:hAnsi="Arial"/>
          <w:sz w:val="22"/>
          <w:szCs w:val="22"/>
        </w:rPr>
      </w:pPr>
      <w:r>
        <w:rPr>
          <w:rFonts w:ascii="Arial" w:hAnsi="Arial"/>
          <w:sz w:val="22"/>
          <w:szCs w:val="22"/>
        </w:rPr>
        <w:tab/>
        <w:t>In the BMD approach, the dose-response curve is utilized to derive a BMD.  T</w:t>
      </w:r>
      <w:r w:rsidR="00D07828">
        <w:rPr>
          <w:rFonts w:ascii="Arial" w:hAnsi="Arial"/>
          <w:sz w:val="22"/>
          <w:szCs w:val="22"/>
        </w:rPr>
        <w:t xml:space="preserve">he BMD </w:t>
      </w:r>
      <w:r>
        <w:rPr>
          <w:rFonts w:ascii="Arial" w:hAnsi="Arial"/>
          <w:sz w:val="22"/>
          <w:szCs w:val="22"/>
        </w:rPr>
        <w:t>is defined as the dose</w:t>
      </w:r>
      <w:r w:rsidR="00CF6F82">
        <w:rPr>
          <w:rFonts w:ascii="Arial" w:hAnsi="Arial"/>
          <w:sz w:val="22"/>
          <w:szCs w:val="22"/>
        </w:rPr>
        <w:t xml:space="preserve"> that </w:t>
      </w:r>
      <w:r w:rsidR="00D07828">
        <w:rPr>
          <w:rFonts w:ascii="Arial" w:hAnsi="Arial"/>
          <w:sz w:val="22"/>
          <w:szCs w:val="22"/>
        </w:rPr>
        <w:t xml:space="preserve">represents </w:t>
      </w:r>
      <w:r w:rsidR="00CF6F82">
        <w:rPr>
          <w:rFonts w:ascii="Arial" w:hAnsi="Arial"/>
          <w:sz w:val="22"/>
          <w:szCs w:val="22"/>
        </w:rPr>
        <w:t>a 10% response in the population (ED</w:t>
      </w:r>
      <w:r w:rsidR="00CF6F82">
        <w:rPr>
          <w:rFonts w:ascii="Arial" w:hAnsi="Arial"/>
          <w:sz w:val="22"/>
          <w:szCs w:val="22"/>
          <w:vertAlign w:val="subscript"/>
        </w:rPr>
        <w:t>10</w:t>
      </w:r>
      <w:r w:rsidR="00CF6F82">
        <w:rPr>
          <w:rFonts w:ascii="Arial" w:hAnsi="Arial"/>
          <w:sz w:val="22"/>
          <w:szCs w:val="22"/>
        </w:rPr>
        <w:t>).</w:t>
      </w:r>
      <w:r>
        <w:rPr>
          <w:rFonts w:ascii="Arial" w:hAnsi="Arial"/>
          <w:sz w:val="22"/>
          <w:szCs w:val="22"/>
        </w:rPr>
        <w:t xml:space="preserve">  The lower 95% confidence limit on the BMD (BMDL) is selected as the TRV.</w:t>
      </w:r>
      <w:r w:rsidR="002A3050">
        <w:rPr>
          <w:rFonts w:ascii="Arial" w:hAnsi="Arial"/>
          <w:sz w:val="22"/>
          <w:szCs w:val="22"/>
        </w:rPr>
        <w:t xml:space="preserve"> </w:t>
      </w:r>
      <w:r w:rsidR="007B3603">
        <w:rPr>
          <w:rFonts w:ascii="Arial" w:hAnsi="Arial"/>
          <w:sz w:val="22"/>
          <w:szCs w:val="22"/>
        </w:rPr>
        <w:t xml:space="preserve">The BMD approach can be used on a single toxicity study </w:t>
      </w:r>
      <w:r w:rsidR="00A07ED5">
        <w:rPr>
          <w:rFonts w:ascii="Arial" w:hAnsi="Arial"/>
          <w:sz w:val="22"/>
          <w:szCs w:val="22"/>
        </w:rPr>
        <w:t xml:space="preserve">(Figure 3) </w:t>
      </w:r>
      <w:r w:rsidR="007B3603">
        <w:rPr>
          <w:rFonts w:ascii="Arial" w:hAnsi="Arial"/>
          <w:sz w:val="22"/>
          <w:szCs w:val="22"/>
        </w:rPr>
        <w:t>or combined toxicity data from several species</w:t>
      </w:r>
      <w:r w:rsidR="00A07ED5">
        <w:rPr>
          <w:rFonts w:ascii="Arial" w:hAnsi="Arial"/>
          <w:sz w:val="22"/>
          <w:szCs w:val="22"/>
        </w:rPr>
        <w:t xml:space="preserve"> (Figure 4)</w:t>
      </w:r>
      <w:r w:rsidR="007B3603">
        <w:rPr>
          <w:rFonts w:ascii="Arial" w:hAnsi="Arial"/>
          <w:sz w:val="22"/>
          <w:szCs w:val="22"/>
        </w:rPr>
        <w:t xml:space="preserve">.  Combining toxicity data </w:t>
      </w:r>
      <w:r w:rsidR="0042073F">
        <w:rPr>
          <w:rFonts w:ascii="Arial" w:hAnsi="Arial"/>
          <w:sz w:val="22"/>
          <w:szCs w:val="22"/>
        </w:rPr>
        <w:t>should</w:t>
      </w:r>
      <w:r w:rsidR="007B3603">
        <w:rPr>
          <w:rFonts w:ascii="Arial" w:hAnsi="Arial"/>
          <w:sz w:val="22"/>
          <w:szCs w:val="22"/>
        </w:rPr>
        <w:t xml:space="preserve"> be used when single species data are limited or when a more general TRV is desired (e.g., use of several fish species to represent finfish sensitivity).</w:t>
      </w:r>
      <w:r w:rsidR="008D649B">
        <w:rPr>
          <w:rFonts w:ascii="Arial" w:hAnsi="Arial"/>
          <w:sz w:val="22"/>
          <w:szCs w:val="22"/>
        </w:rPr>
        <w:t xml:space="preserve">  It is important to note that the more varied the toxicity data are </w:t>
      </w:r>
      <w:r w:rsidR="00EB6E2E">
        <w:rPr>
          <w:rFonts w:ascii="Arial" w:hAnsi="Arial"/>
          <w:sz w:val="22"/>
          <w:szCs w:val="22"/>
        </w:rPr>
        <w:t xml:space="preserve">among </w:t>
      </w:r>
      <w:r w:rsidR="008D649B">
        <w:rPr>
          <w:rFonts w:ascii="Arial" w:hAnsi="Arial"/>
          <w:sz w:val="22"/>
          <w:szCs w:val="22"/>
        </w:rPr>
        <w:t xml:space="preserve">species, the less likely a combined dose-response cure will </w:t>
      </w:r>
      <w:r w:rsidR="0042073F">
        <w:rPr>
          <w:rFonts w:ascii="Arial" w:hAnsi="Arial"/>
          <w:sz w:val="22"/>
          <w:szCs w:val="22"/>
        </w:rPr>
        <w:t>estimate a valid BMD</w:t>
      </w:r>
      <w:r w:rsidR="00866666">
        <w:rPr>
          <w:rFonts w:ascii="Arial" w:hAnsi="Arial"/>
          <w:sz w:val="22"/>
          <w:szCs w:val="22"/>
        </w:rPr>
        <w:t xml:space="preserve"> since the variability decreases the fit of the model and confidence in the BMD</w:t>
      </w:r>
      <w:r w:rsidR="008D649B">
        <w:rPr>
          <w:rFonts w:ascii="Arial" w:hAnsi="Arial"/>
          <w:sz w:val="22"/>
          <w:szCs w:val="22"/>
        </w:rPr>
        <w:t>.</w:t>
      </w:r>
      <w:r w:rsidR="007B3603">
        <w:rPr>
          <w:rFonts w:ascii="Arial" w:hAnsi="Arial"/>
          <w:sz w:val="22"/>
          <w:szCs w:val="22"/>
        </w:rPr>
        <w:t xml:space="preserve"> </w:t>
      </w:r>
    </w:p>
    <w:p w14:paraId="754162DB" w14:textId="77777777" w:rsidR="00E473CB" w:rsidRDefault="00E473CB" w:rsidP="006B1B21">
      <w:pPr>
        <w:jc w:val="both"/>
        <w:rPr>
          <w:rFonts w:ascii="Arial" w:hAnsi="Arial"/>
          <w:sz w:val="22"/>
          <w:szCs w:val="22"/>
        </w:rPr>
      </w:pPr>
    </w:p>
    <w:p w14:paraId="060CA554" w14:textId="365F85F9" w:rsidR="00D40DF3" w:rsidRDefault="00D40DF3" w:rsidP="006B1B21">
      <w:pPr>
        <w:jc w:val="both"/>
        <w:rPr>
          <w:rFonts w:ascii="Arial" w:hAnsi="Arial"/>
          <w:sz w:val="22"/>
          <w:szCs w:val="22"/>
        </w:rPr>
      </w:pPr>
      <w:r>
        <w:rPr>
          <w:rFonts w:ascii="Arial" w:hAnsi="Arial"/>
          <w:noProof/>
          <w:sz w:val="22"/>
          <w:szCs w:val="22"/>
        </w:rPr>
        <w:drawing>
          <wp:inline distT="0" distB="0" distL="0" distR="0" wp14:anchorId="31C2AAE0" wp14:editId="13556FF5">
            <wp:extent cx="3597092" cy="2117995"/>
            <wp:effectExtent l="0" t="0" r="3810" b="0"/>
            <wp:docPr id="3" name="Picture 3" descr="Eco Risk Guidance" title="Eco Risk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99355" cy="2119328"/>
                    </a:xfrm>
                    <a:prstGeom prst="rect">
                      <a:avLst/>
                    </a:prstGeom>
                    <a:noFill/>
                    <a:ln>
                      <a:noFill/>
                    </a:ln>
                  </pic:spPr>
                </pic:pic>
              </a:graphicData>
            </a:graphic>
          </wp:inline>
        </w:drawing>
      </w:r>
    </w:p>
    <w:p w14:paraId="184AC563" w14:textId="67E583EB" w:rsidR="00D40DF3" w:rsidRDefault="00D40DF3" w:rsidP="006B1B21">
      <w:pPr>
        <w:jc w:val="both"/>
        <w:rPr>
          <w:rFonts w:ascii="Arial" w:hAnsi="Arial"/>
          <w:sz w:val="22"/>
          <w:szCs w:val="22"/>
        </w:rPr>
      </w:pPr>
      <w:r>
        <w:rPr>
          <w:rFonts w:ascii="Arial" w:hAnsi="Arial"/>
          <w:sz w:val="22"/>
          <w:szCs w:val="22"/>
        </w:rPr>
        <w:t>Figure 3 – Single species dose-response curve</w:t>
      </w:r>
    </w:p>
    <w:p w14:paraId="7116572D" w14:textId="77777777" w:rsidR="00D40DF3" w:rsidRDefault="00D40DF3" w:rsidP="006B1B21">
      <w:pPr>
        <w:jc w:val="both"/>
        <w:rPr>
          <w:rFonts w:ascii="Arial" w:hAnsi="Arial"/>
          <w:sz w:val="22"/>
          <w:szCs w:val="22"/>
        </w:rPr>
      </w:pPr>
    </w:p>
    <w:p w14:paraId="1232FD5E" w14:textId="307CA4D5" w:rsidR="00D40DF3" w:rsidRDefault="00D40DF3" w:rsidP="006B1B21">
      <w:pPr>
        <w:jc w:val="both"/>
        <w:rPr>
          <w:rFonts w:ascii="Arial" w:hAnsi="Arial"/>
          <w:sz w:val="22"/>
          <w:szCs w:val="22"/>
        </w:rPr>
      </w:pPr>
      <w:r>
        <w:rPr>
          <w:rFonts w:ascii="Arial" w:hAnsi="Arial"/>
          <w:noProof/>
          <w:sz w:val="22"/>
          <w:szCs w:val="22"/>
        </w:rPr>
        <w:drawing>
          <wp:inline distT="0" distB="0" distL="0" distR="0" wp14:anchorId="7AE39C63" wp14:editId="3B9A7644">
            <wp:extent cx="3574842" cy="2026946"/>
            <wp:effectExtent l="0" t="0" r="6985" b="0"/>
            <wp:docPr id="4" name="Picture 4" descr="Eco Risk Guidance" title="Eco Risk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76548" cy="2027913"/>
                    </a:xfrm>
                    <a:prstGeom prst="rect">
                      <a:avLst/>
                    </a:prstGeom>
                    <a:noFill/>
                    <a:ln>
                      <a:noFill/>
                    </a:ln>
                  </pic:spPr>
                </pic:pic>
              </a:graphicData>
            </a:graphic>
          </wp:inline>
        </w:drawing>
      </w:r>
    </w:p>
    <w:p w14:paraId="2E2F3E11" w14:textId="32EB4040" w:rsidR="00D40DF3" w:rsidRDefault="00D40DF3" w:rsidP="006B1B21">
      <w:pPr>
        <w:jc w:val="both"/>
        <w:rPr>
          <w:rFonts w:ascii="Arial" w:hAnsi="Arial"/>
          <w:sz w:val="22"/>
          <w:szCs w:val="22"/>
        </w:rPr>
      </w:pPr>
      <w:r>
        <w:rPr>
          <w:rFonts w:ascii="Arial" w:hAnsi="Arial"/>
          <w:sz w:val="22"/>
          <w:szCs w:val="22"/>
        </w:rPr>
        <w:t>Figure 4 –</w:t>
      </w:r>
      <w:r w:rsidR="00D62D73">
        <w:rPr>
          <w:rFonts w:ascii="Arial" w:hAnsi="Arial"/>
          <w:sz w:val="22"/>
          <w:szCs w:val="22"/>
        </w:rPr>
        <w:t xml:space="preserve"> Multi</w:t>
      </w:r>
      <w:r>
        <w:rPr>
          <w:rFonts w:ascii="Arial" w:hAnsi="Arial"/>
          <w:sz w:val="22"/>
          <w:szCs w:val="22"/>
        </w:rPr>
        <w:t xml:space="preserve"> species dose-response curve</w:t>
      </w:r>
    </w:p>
    <w:p w14:paraId="687A6610" w14:textId="77777777" w:rsidR="00E473CB" w:rsidRPr="007D382E" w:rsidRDefault="00E473CB" w:rsidP="006B1B21">
      <w:pPr>
        <w:jc w:val="both"/>
        <w:rPr>
          <w:rFonts w:ascii="Arial" w:hAnsi="Arial"/>
          <w:sz w:val="22"/>
          <w:szCs w:val="22"/>
        </w:rPr>
      </w:pPr>
      <w:r>
        <w:rPr>
          <w:rFonts w:ascii="Arial" w:hAnsi="Arial"/>
          <w:sz w:val="22"/>
          <w:szCs w:val="22"/>
        </w:rPr>
        <w:lastRenderedPageBreak/>
        <w:tab/>
        <w:t xml:space="preserve">The NOAEL/LOAEL approach </w:t>
      </w:r>
      <w:r w:rsidR="00940799">
        <w:rPr>
          <w:rFonts w:ascii="Arial" w:hAnsi="Arial"/>
          <w:sz w:val="22"/>
          <w:szCs w:val="22"/>
        </w:rPr>
        <w:t xml:space="preserve">is the less preferred approach because it </w:t>
      </w:r>
      <w:r w:rsidR="008D7C84">
        <w:rPr>
          <w:rFonts w:ascii="Arial" w:hAnsi="Arial"/>
          <w:sz w:val="22"/>
          <w:szCs w:val="22"/>
        </w:rPr>
        <w:t xml:space="preserve">does not utilize the </w:t>
      </w:r>
      <w:r w:rsidR="003460F8">
        <w:rPr>
          <w:rFonts w:ascii="Arial" w:hAnsi="Arial"/>
          <w:sz w:val="22"/>
          <w:szCs w:val="22"/>
        </w:rPr>
        <w:t xml:space="preserve">entire </w:t>
      </w:r>
      <w:r w:rsidR="008D7C84">
        <w:rPr>
          <w:rFonts w:ascii="Arial" w:hAnsi="Arial"/>
          <w:sz w:val="22"/>
          <w:szCs w:val="22"/>
        </w:rPr>
        <w:t xml:space="preserve">dose-response curve and </w:t>
      </w:r>
      <w:r w:rsidR="00940799">
        <w:rPr>
          <w:rFonts w:ascii="Arial" w:hAnsi="Arial"/>
          <w:sz w:val="22"/>
          <w:szCs w:val="22"/>
        </w:rPr>
        <w:t>is dependent on the doses chose</w:t>
      </w:r>
      <w:r w:rsidR="003460F8">
        <w:rPr>
          <w:rFonts w:ascii="Arial" w:hAnsi="Arial"/>
          <w:sz w:val="22"/>
          <w:szCs w:val="22"/>
        </w:rPr>
        <w:t>n</w:t>
      </w:r>
      <w:r w:rsidR="00940799">
        <w:rPr>
          <w:rFonts w:ascii="Arial" w:hAnsi="Arial"/>
          <w:sz w:val="22"/>
          <w:szCs w:val="22"/>
        </w:rPr>
        <w:t xml:space="preserve"> for the toxicity study.  This approach </w:t>
      </w:r>
      <w:r>
        <w:rPr>
          <w:rFonts w:ascii="Arial" w:hAnsi="Arial"/>
          <w:sz w:val="22"/>
          <w:szCs w:val="22"/>
        </w:rPr>
        <w:t xml:space="preserve">produces two TRVs – the </w:t>
      </w:r>
      <w:r w:rsidR="00D97CEB">
        <w:rPr>
          <w:rFonts w:ascii="Arial" w:hAnsi="Arial"/>
          <w:sz w:val="22"/>
          <w:szCs w:val="22"/>
        </w:rPr>
        <w:t>TRV</w:t>
      </w:r>
      <w:r w:rsidR="00D97CEB" w:rsidRPr="00D97CEB">
        <w:rPr>
          <w:rFonts w:ascii="Arial" w:hAnsi="Arial"/>
          <w:sz w:val="22"/>
          <w:szCs w:val="22"/>
          <w:vertAlign w:val="subscript"/>
        </w:rPr>
        <w:t>NOAEL</w:t>
      </w:r>
      <w:r w:rsidR="00D97CEB">
        <w:rPr>
          <w:rFonts w:ascii="Arial" w:hAnsi="Arial"/>
          <w:sz w:val="22"/>
          <w:szCs w:val="22"/>
        </w:rPr>
        <w:t xml:space="preserve"> </w:t>
      </w:r>
      <w:r>
        <w:rPr>
          <w:rFonts w:ascii="Arial" w:hAnsi="Arial"/>
          <w:sz w:val="22"/>
          <w:szCs w:val="22"/>
        </w:rPr>
        <w:t>and the TRV</w:t>
      </w:r>
      <w:r w:rsidR="00D97CEB" w:rsidRPr="00D97CEB">
        <w:rPr>
          <w:rFonts w:ascii="Arial" w:hAnsi="Arial"/>
          <w:sz w:val="22"/>
          <w:szCs w:val="22"/>
          <w:vertAlign w:val="subscript"/>
        </w:rPr>
        <w:t>LOAEL</w:t>
      </w:r>
      <w:r>
        <w:rPr>
          <w:rFonts w:ascii="Arial" w:hAnsi="Arial"/>
          <w:sz w:val="22"/>
          <w:szCs w:val="22"/>
        </w:rPr>
        <w:t>.</w:t>
      </w:r>
      <w:r w:rsidR="000B32BF">
        <w:rPr>
          <w:rFonts w:ascii="Arial" w:hAnsi="Arial"/>
          <w:sz w:val="22"/>
          <w:szCs w:val="22"/>
        </w:rPr>
        <w:t xml:space="preserve">  The </w:t>
      </w:r>
      <w:r w:rsidR="00D97CEB">
        <w:rPr>
          <w:rFonts w:ascii="Arial" w:hAnsi="Arial"/>
          <w:sz w:val="22"/>
          <w:szCs w:val="22"/>
        </w:rPr>
        <w:t>TRV</w:t>
      </w:r>
      <w:r w:rsidR="00D97CEB" w:rsidRPr="00D97CEB">
        <w:rPr>
          <w:rFonts w:ascii="Arial" w:hAnsi="Arial"/>
          <w:sz w:val="22"/>
          <w:szCs w:val="22"/>
          <w:vertAlign w:val="subscript"/>
        </w:rPr>
        <w:t>LOAEL</w:t>
      </w:r>
      <w:r w:rsidR="00D97CEB">
        <w:rPr>
          <w:rFonts w:ascii="Arial" w:hAnsi="Arial"/>
          <w:sz w:val="22"/>
          <w:szCs w:val="22"/>
        </w:rPr>
        <w:t xml:space="preserve"> </w:t>
      </w:r>
      <w:r w:rsidR="000B32BF">
        <w:rPr>
          <w:rFonts w:ascii="Arial" w:hAnsi="Arial"/>
          <w:sz w:val="22"/>
          <w:szCs w:val="22"/>
        </w:rPr>
        <w:t xml:space="preserve">is the lowest bounded LOAEL </w:t>
      </w:r>
      <w:r w:rsidR="003D1BAD">
        <w:rPr>
          <w:rFonts w:ascii="Arial" w:hAnsi="Arial"/>
          <w:sz w:val="22"/>
          <w:szCs w:val="22"/>
        </w:rPr>
        <w:t xml:space="preserve">associated with effects </w:t>
      </w:r>
      <w:r w:rsidR="000B32BF">
        <w:rPr>
          <w:rFonts w:ascii="Arial" w:hAnsi="Arial"/>
          <w:sz w:val="22"/>
          <w:szCs w:val="22"/>
        </w:rPr>
        <w:t>o</w:t>
      </w:r>
      <w:r w:rsidR="003D1BAD">
        <w:rPr>
          <w:rFonts w:ascii="Arial" w:hAnsi="Arial"/>
          <w:sz w:val="22"/>
          <w:szCs w:val="22"/>
        </w:rPr>
        <w:t>n</w:t>
      </w:r>
      <w:r w:rsidR="000B32BF">
        <w:rPr>
          <w:rFonts w:ascii="Arial" w:hAnsi="Arial"/>
          <w:sz w:val="22"/>
          <w:szCs w:val="22"/>
        </w:rPr>
        <w:t xml:space="preserve"> growth, reproduction, and mortality endpoints.  The </w:t>
      </w:r>
      <w:r w:rsidR="00D97CEB">
        <w:rPr>
          <w:rFonts w:ascii="Arial" w:hAnsi="Arial"/>
          <w:sz w:val="22"/>
          <w:szCs w:val="22"/>
        </w:rPr>
        <w:t>TRV</w:t>
      </w:r>
      <w:r w:rsidR="00D97CEB" w:rsidRPr="00D97CEB">
        <w:rPr>
          <w:rFonts w:ascii="Arial" w:hAnsi="Arial"/>
          <w:sz w:val="22"/>
          <w:szCs w:val="22"/>
          <w:vertAlign w:val="subscript"/>
        </w:rPr>
        <w:t>NOAEL</w:t>
      </w:r>
      <w:r w:rsidR="00D97CEB">
        <w:rPr>
          <w:rFonts w:ascii="Arial" w:hAnsi="Arial"/>
          <w:sz w:val="22"/>
          <w:szCs w:val="22"/>
        </w:rPr>
        <w:t xml:space="preserve"> </w:t>
      </w:r>
      <w:r w:rsidR="000B32BF">
        <w:rPr>
          <w:rFonts w:ascii="Arial" w:hAnsi="Arial"/>
          <w:sz w:val="22"/>
          <w:szCs w:val="22"/>
        </w:rPr>
        <w:t>is defined as the highest bounded NOAEL lower than the TRV</w:t>
      </w:r>
      <w:r w:rsidR="00D97CEB" w:rsidRPr="00D97CEB">
        <w:rPr>
          <w:rFonts w:ascii="Arial" w:hAnsi="Arial"/>
          <w:sz w:val="22"/>
          <w:szCs w:val="22"/>
          <w:vertAlign w:val="subscript"/>
        </w:rPr>
        <w:t>LOAEL</w:t>
      </w:r>
      <w:r w:rsidR="00D97CEB">
        <w:rPr>
          <w:rFonts w:ascii="Arial" w:hAnsi="Arial"/>
          <w:sz w:val="22"/>
          <w:szCs w:val="22"/>
        </w:rPr>
        <w:t xml:space="preserve"> </w:t>
      </w:r>
      <w:r w:rsidR="007820B5">
        <w:rPr>
          <w:rFonts w:ascii="Arial" w:hAnsi="Arial"/>
          <w:sz w:val="22"/>
          <w:szCs w:val="22"/>
        </w:rPr>
        <w:t xml:space="preserve">for the same population endpoints </w:t>
      </w:r>
      <w:r w:rsidR="0034395C">
        <w:rPr>
          <w:rFonts w:ascii="Arial" w:hAnsi="Arial"/>
          <w:sz w:val="22"/>
          <w:szCs w:val="22"/>
        </w:rPr>
        <w:t>(CHPPM, 2000)</w:t>
      </w:r>
      <w:r w:rsidR="000B32BF">
        <w:rPr>
          <w:rFonts w:ascii="Arial" w:hAnsi="Arial"/>
          <w:sz w:val="22"/>
          <w:szCs w:val="22"/>
        </w:rPr>
        <w:t>.</w:t>
      </w:r>
      <w:r w:rsidR="0055489D">
        <w:rPr>
          <w:rFonts w:ascii="Arial" w:hAnsi="Arial"/>
          <w:sz w:val="22"/>
          <w:szCs w:val="22"/>
        </w:rPr>
        <w:t xml:space="preserve">  The US EPA utilized the NOAEL/LOAEL </w:t>
      </w:r>
      <w:r w:rsidR="00A22B21">
        <w:rPr>
          <w:rFonts w:ascii="Arial" w:hAnsi="Arial"/>
          <w:sz w:val="22"/>
          <w:szCs w:val="22"/>
        </w:rPr>
        <w:t xml:space="preserve">approach </w:t>
      </w:r>
      <w:r w:rsidR="0055489D">
        <w:rPr>
          <w:rFonts w:ascii="Arial" w:hAnsi="Arial"/>
          <w:sz w:val="22"/>
          <w:szCs w:val="22"/>
        </w:rPr>
        <w:t>to derive</w:t>
      </w:r>
      <w:r w:rsidR="00A22B21">
        <w:rPr>
          <w:rFonts w:ascii="Arial" w:hAnsi="Arial"/>
          <w:sz w:val="22"/>
          <w:szCs w:val="22"/>
        </w:rPr>
        <w:t xml:space="preserve"> NOAEL</w:t>
      </w:r>
      <w:r w:rsidR="00D97CEB">
        <w:rPr>
          <w:rFonts w:ascii="Arial" w:hAnsi="Arial"/>
          <w:sz w:val="22"/>
          <w:szCs w:val="22"/>
        </w:rPr>
        <w:t>-based</w:t>
      </w:r>
      <w:r w:rsidR="00A22B21">
        <w:rPr>
          <w:rFonts w:ascii="Arial" w:hAnsi="Arial"/>
          <w:sz w:val="22"/>
          <w:szCs w:val="22"/>
        </w:rPr>
        <w:t xml:space="preserve"> TRVs for the ecological soil screening levels. </w:t>
      </w:r>
    </w:p>
    <w:p w14:paraId="3AAA736B" w14:textId="77777777" w:rsidR="00215D66" w:rsidRDefault="00215D66" w:rsidP="006B1B21">
      <w:pPr>
        <w:jc w:val="both"/>
        <w:rPr>
          <w:rFonts w:ascii="Arial" w:hAnsi="Arial"/>
          <w:sz w:val="22"/>
          <w:szCs w:val="22"/>
          <w:u w:val="single"/>
        </w:rPr>
      </w:pPr>
    </w:p>
    <w:p w14:paraId="381A9029" w14:textId="77777777" w:rsidR="00215D66" w:rsidRDefault="00215D66" w:rsidP="006B1B21">
      <w:pPr>
        <w:jc w:val="both"/>
        <w:rPr>
          <w:rFonts w:ascii="Arial" w:hAnsi="Arial"/>
          <w:sz w:val="22"/>
          <w:szCs w:val="22"/>
          <w:u w:val="single"/>
        </w:rPr>
      </w:pPr>
      <w:r w:rsidRPr="004C53A3">
        <w:rPr>
          <w:rFonts w:ascii="Arial" w:hAnsi="Arial"/>
          <w:sz w:val="22"/>
          <w:szCs w:val="22"/>
          <w:u w:val="single"/>
        </w:rPr>
        <w:t>4.1.2 Species</w:t>
      </w:r>
      <w:r>
        <w:rPr>
          <w:rFonts w:ascii="Arial" w:hAnsi="Arial"/>
          <w:sz w:val="22"/>
          <w:szCs w:val="22"/>
          <w:u w:val="single"/>
        </w:rPr>
        <w:t xml:space="preserve"> Sensitivity Distributions</w:t>
      </w:r>
    </w:p>
    <w:p w14:paraId="6E1948E3" w14:textId="77777777" w:rsidR="00317AD2" w:rsidRDefault="00317AD2" w:rsidP="006B1B21">
      <w:pPr>
        <w:jc w:val="both"/>
        <w:rPr>
          <w:rFonts w:ascii="Arial" w:hAnsi="Arial"/>
          <w:sz w:val="22"/>
          <w:szCs w:val="22"/>
          <w:u w:val="single"/>
        </w:rPr>
      </w:pPr>
    </w:p>
    <w:p w14:paraId="5B0E1E0E" w14:textId="77777777" w:rsidR="00317AD2" w:rsidRDefault="00317AD2" w:rsidP="006B1B21">
      <w:pPr>
        <w:jc w:val="both"/>
        <w:rPr>
          <w:rFonts w:ascii="Arial" w:hAnsi="Arial"/>
          <w:sz w:val="22"/>
          <w:szCs w:val="22"/>
        </w:rPr>
      </w:pPr>
      <w:r>
        <w:rPr>
          <w:rFonts w:ascii="Arial" w:hAnsi="Arial"/>
          <w:sz w:val="22"/>
          <w:szCs w:val="22"/>
        </w:rPr>
        <w:tab/>
        <w:t>S</w:t>
      </w:r>
      <w:r w:rsidR="00F72AD7">
        <w:rPr>
          <w:rFonts w:ascii="Arial" w:hAnsi="Arial"/>
          <w:sz w:val="22"/>
          <w:szCs w:val="22"/>
        </w:rPr>
        <w:t xml:space="preserve">pecies sensitivity distributions are utilized to derive a TRV protective of communities rather than individual species.  The distribution is created by plotting the </w:t>
      </w:r>
      <w:r w:rsidR="00F21721">
        <w:rPr>
          <w:rFonts w:ascii="Arial" w:hAnsi="Arial"/>
          <w:sz w:val="22"/>
          <w:szCs w:val="22"/>
        </w:rPr>
        <w:t>concentration</w:t>
      </w:r>
      <w:r w:rsidR="00F72AD7">
        <w:rPr>
          <w:rFonts w:ascii="Arial" w:hAnsi="Arial"/>
          <w:sz w:val="22"/>
          <w:szCs w:val="22"/>
        </w:rPr>
        <w:t xml:space="preserve"> </w:t>
      </w:r>
      <w:r w:rsidR="0042633D">
        <w:rPr>
          <w:rFonts w:ascii="Arial" w:hAnsi="Arial"/>
          <w:sz w:val="22"/>
          <w:szCs w:val="22"/>
        </w:rPr>
        <w:t>for</w:t>
      </w:r>
      <w:r w:rsidR="00F72AD7">
        <w:rPr>
          <w:rFonts w:ascii="Arial" w:hAnsi="Arial"/>
          <w:sz w:val="22"/>
          <w:szCs w:val="22"/>
        </w:rPr>
        <w:t xml:space="preserve"> </w:t>
      </w:r>
      <w:r w:rsidR="00F21721">
        <w:rPr>
          <w:rFonts w:ascii="Arial" w:hAnsi="Arial"/>
          <w:sz w:val="22"/>
          <w:szCs w:val="22"/>
        </w:rPr>
        <w:t>a specific</w:t>
      </w:r>
      <w:r w:rsidR="00F72AD7">
        <w:rPr>
          <w:rFonts w:ascii="Arial" w:hAnsi="Arial"/>
          <w:sz w:val="22"/>
          <w:szCs w:val="22"/>
        </w:rPr>
        <w:t xml:space="preserve"> endpoint (e.g., EC</w:t>
      </w:r>
      <w:r w:rsidR="00F72AD7">
        <w:rPr>
          <w:rFonts w:ascii="Arial" w:hAnsi="Arial"/>
          <w:sz w:val="22"/>
          <w:szCs w:val="22"/>
          <w:vertAlign w:val="subscript"/>
        </w:rPr>
        <w:t>10</w:t>
      </w:r>
      <w:r w:rsidR="00F72AD7">
        <w:rPr>
          <w:rFonts w:ascii="Arial" w:hAnsi="Arial"/>
          <w:sz w:val="22"/>
          <w:szCs w:val="22"/>
        </w:rPr>
        <w:t>, IC</w:t>
      </w:r>
      <w:r w:rsidR="00F72AD7">
        <w:rPr>
          <w:rFonts w:ascii="Arial" w:hAnsi="Arial"/>
          <w:sz w:val="22"/>
          <w:szCs w:val="22"/>
          <w:vertAlign w:val="subscript"/>
        </w:rPr>
        <w:t>25</w:t>
      </w:r>
      <w:r w:rsidR="00F72AD7">
        <w:rPr>
          <w:rFonts w:ascii="Arial" w:hAnsi="Arial"/>
          <w:sz w:val="22"/>
          <w:szCs w:val="22"/>
        </w:rPr>
        <w:t>, LC</w:t>
      </w:r>
      <w:r w:rsidR="00F72AD7">
        <w:rPr>
          <w:rFonts w:ascii="Arial" w:hAnsi="Arial"/>
          <w:sz w:val="22"/>
          <w:szCs w:val="22"/>
          <w:vertAlign w:val="subscript"/>
        </w:rPr>
        <w:t>50</w:t>
      </w:r>
      <w:r w:rsidR="00F72AD7">
        <w:rPr>
          <w:rFonts w:ascii="Arial" w:hAnsi="Arial"/>
          <w:sz w:val="22"/>
          <w:szCs w:val="22"/>
        </w:rPr>
        <w:t xml:space="preserve">) </w:t>
      </w:r>
      <w:r w:rsidR="0042633D">
        <w:rPr>
          <w:rFonts w:ascii="Arial" w:hAnsi="Arial"/>
          <w:sz w:val="22"/>
          <w:szCs w:val="22"/>
        </w:rPr>
        <w:t xml:space="preserve">for multiple species </w:t>
      </w:r>
      <w:r w:rsidR="00F21721">
        <w:rPr>
          <w:rFonts w:ascii="Arial" w:hAnsi="Arial"/>
          <w:sz w:val="22"/>
          <w:szCs w:val="22"/>
        </w:rPr>
        <w:t xml:space="preserve">on a cumulative distribution plot (Figure 5).  </w:t>
      </w:r>
      <w:r w:rsidR="0042633D">
        <w:rPr>
          <w:rFonts w:ascii="Arial" w:hAnsi="Arial"/>
          <w:sz w:val="22"/>
          <w:szCs w:val="22"/>
        </w:rPr>
        <w:t xml:space="preserve">The distribution helps determine the range of sensitivities for representative species in the ecosystem and results in a TRV protective of the entire community.  </w:t>
      </w:r>
      <w:r w:rsidR="00F21721">
        <w:rPr>
          <w:rFonts w:ascii="Arial" w:hAnsi="Arial"/>
          <w:sz w:val="22"/>
          <w:szCs w:val="22"/>
        </w:rPr>
        <w:t>The 5</w:t>
      </w:r>
      <w:r w:rsidR="00F21721" w:rsidRPr="00F21721">
        <w:rPr>
          <w:rFonts w:ascii="Arial" w:hAnsi="Arial"/>
          <w:sz w:val="22"/>
          <w:szCs w:val="22"/>
          <w:vertAlign w:val="superscript"/>
        </w:rPr>
        <w:t>th</w:t>
      </w:r>
      <w:r w:rsidR="00F21721">
        <w:rPr>
          <w:rFonts w:ascii="Arial" w:hAnsi="Arial"/>
          <w:sz w:val="22"/>
          <w:szCs w:val="22"/>
        </w:rPr>
        <w:t xml:space="preserve"> percentile concentration</w:t>
      </w:r>
      <w:r w:rsidR="0042633D">
        <w:rPr>
          <w:rFonts w:ascii="Arial" w:hAnsi="Arial"/>
          <w:sz w:val="22"/>
          <w:szCs w:val="22"/>
        </w:rPr>
        <w:t xml:space="preserve"> on the distribution is selected as the TRV and is considered protective of 95% of the species </w:t>
      </w:r>
      <w:r w:rsidR="006F7006">
        <w:rPr>
          <w:rFonts w:ascii="Arial" w:hAnsi="Arial"/>
          <w:sz w:val="22"/>
          <w:szCs w:val="22"/>
        </w:rPr>
        <w:t xml:space="preserve">at the site.  Species not represented in the distribution may </w:t>
      </w:r>
      <w:r w:rsidR="00EB6E2E">
        <w:rPr>
          <w:rFonts w:ascii="Arial" w:hAnsi="Arial"/>
          <w:sz w:val="22"/>
          <w:szCs w:val="22"/>
        </w:rPr>
        <w:t xml:space="preserve">or may </w:t>
      </w:r>
      <w:r w:rsidR="006F7006">
        <w:rPr>
          <w:rFonts w:ascii="Arial" w:hAnsi="Arial"/>
          <w:sz w:val="22"/>
          <w:szCs w:val="22"/>
        </w:rPr>
        <w:t xml:space="preserve">not be protected at </w:t>
      </w:r>
      <w:r w:rsidR="00EB6E2E">
        <w:rPr>
          <w:rFonts w:ascii="Arial" w:hAnsi="Arial"/>
          <w:sz w:val="22"/>
          <w:szCs w:val="22"/>
        </w:rPr>
        <w:t>this TRV</w:t>
      </w:r>
      <w:r w:rsidR="006F7006">
        <w:rPr>
          <w:rFonts w:ascii="Arial" w:hAnsi="Arial"/>
          <w:sz w:val="22"/>
          <w:szCs w:val="22"/>
        </w:rPr>
        <w:t>.</w:t>
      </w:r>
    </w:p>
    <w:p w14:paraId="3B77E668" w14:textId="77777777" w:rsidR="007105CA" w:rsidRDefault="007105CA" w:rsidP="006B1B21">
      <w:pPr>
        <w:jc w:val="both"/>
        <w:rPr>
          <w:rFonts w:ascii="Arial" w:hAnsi="Arial"/>
          <w:sz w:val="22"/>
          <w:szCs w:val="22"/>
        </w:rPr>
      </w:pPr>
    </w:p>
    <w:p w14:paraId="01CEF41C" w14:textId="641A9F5D" w:rsidR="007105CA" w:rsidRDefault="00A17FAE" w:rsidP="006B1B21">
      <w:pPr>
        <w:jc w:val="both"/>
        <w:rPr>
          <w:rFonts w:ascii="Arial" w:hAnsi="Arial"/>
          <w:sz w:val="22"/>
          <w:szCs w:val="22"/>
        </w:rPr>
      </w:pPr>
      <w:r>
        <w:rPr>
          <w:rFonts w:ascii="Arial" w:hAnsi="Arial"/>
          <w:noProof/>
          <w:sz w:val="22"/>
          <w:szCs w:val="22"/>
        </w:rPr>
        <w:drawing>
          <wp:inline distT="0" distB="0" distL="0" distR="0" wp14:anchorId="7455AF71" wp14:editId="54BC5C82">
            <wp:extent cx="3825692" cy="2872523"/>
            <wp:effectExtent l="0" t="0" r="3810" b="4445"/>
            <wp:docPr id="6" name="Picture 6" descr="Eco Risk Guidance" title="Eco Risk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6301" cy="2872980"/>
                    </a:xfrm>
                    <a:prstGeom prst="rect">
                      <a:avLst/>
                    </a:prstGeom>
                    <a:noFill/>
                    <a:ln>
                      <a:noFill/>
                    </a:ln>
                  </pic:spPr>
                </pic:pic>
              </a:graphicData>
            </a:graphic>
          </wp:inline>
        </w:drawing>
      </w:r>
    </w:p>
    <w:p w14:paraId="7DC81B4C" w14:textId="358BA634" w:rsidR="004B673A" w:rsidRPr="00F72AD7" w:rsidRDefault="004B673A" w:rsidP="006B1B21">
      <w:pPr>
        <w:jc w:val="both"/>
        <w:rPr>
          <w:rFonts w:ascii="Arial" w:hAnsi="Arial"/>
          <w:sz w:val="22"/>
          <w:szCs w:val="22"/>
        </w:rPr>
      </w:pPr>
      <w:r>
        <w:rPr>
          <w:rFonts w:ascii="Arial" w:hAnsi="Arial"/>
          <w:sz w:val="22"/>
          <w:szCs w:val="22"/>
        </w:rPr>
        <w:t xml:space="preserve">Figure 5 – Freshwater fish species sensitivity distribution for </w:t>
      </w:r>
      <w:r w:rsidR="00827CD8">
        <w:rPr>
          <w:rFonts w:ascii="Arial" w:hAnsi="Arial"/>
          <w:sz w:val="22"/>
          <w:szCs w:val="22"/>
        </w:rPr>
        <w:t>acute</w:t>
      </w:r>
      <w:r>
        <w:rPr>
          <w:rFonts w:ascii="Arial" w:hAnsi="Arial"/>
          <w:sz w:val="22"/>
          <w:szCs w:val="22"/>
        </w:rPr>
        <w:t xml:space="preserve"> exposure to endosulfan</w:t>
      </w:r>
      <w:r w:rsidR="00827CD8">
        <w:rPr>
          <w:rFonts w:ascii="Arial" w:hAnsi="Arial"/>
          <w:sz w:val="22"/>
          <w:szCs w:val="22"/>
        </w:rPr>
        <w:t xml:space="preserve"> (96-hour LD</w:t>
      </w:r>
      <w:r w:rsidR="00827CD8">
        <w:rPr>
          <w:rFonts w:ascii="Arial" w:hAnsi="Arial"/>
          <w:sz w:val="22"/>
          <w:szCs w:val="22"/>
          <w:vertAlign w:val="subscript"/>
        </w:rPr>
        <w:t>50</w:t>
      </w:r>
      <w:r w:rsidR="00827CD8">
        <w:rPr>
          <w:rFonts w:ascii="Arial" w:hAnsi="Arial"/>
          <w:sz w:val="22"/>
          <w:szCs w:val="22"/>
        </w:rPr>
        <w:t xml:space="preserve"> values)</w:t>
      </w:r>
      <w:r w:rsidR="00A17FAE">
        <w:rPr>
          <w:rFonts w:ascii="Arial" w:hAnsi="Arial"/>
          <w:sz w:val="22"/>
          <w:szCs w:val="22"/>
        </w:rPr>
        <w:t>.  The 5</w:t>
      </w:r>
      <w:r w:rsidR="00A17FAE" w:rsidRPr="00A17FAE">
        <w:rPr>
          <w:rFonts w:ascii="Arial" w:hAnsi="Arial"/>
          <w:sz w:val="22"/>
          <w:szCs w:val="22"/>
          <w:vertAlign w:val="superscript"/>
        </w:rPr>
        <w:t>th</w:t>
      </w:r>
      <w:r w:rsidR="00A17FAE">
        <w:rPr>
          <w:rFonts w:ascii="Arial" w:hAnsi="Arial"/>
          <w:sz w:val="22"/>
          <w:szCs w:val="22"/>
        </w:rPr>
        <w:t xml:space="preserve"> percentile of this distribution </w:t>
      </w:r>
      <w:r w:rsidR="00827CD8">
        <w:rPr>
          <w:rFonts w:ascii="Arial" w:hAnsi="Arial"/>
          <w:sz w:val="22"/>
          <w:szCs w:val="22"/>
        </w:rPr>
        <w:t>(</w:t>
      </w:r>
      <w:r w:rsidR="00A17FAE">
        <w:rPr>
          <w:rFonts w:ascii="Arial" w:hAnsi="Arial"/>
          <w:sz w:val="22"/>
          <w:szCs w:val="22"/>
        </w:rPr>
        <w:t>the concentration where 5% of the species are affected</w:t>
      </w:r>
      <w:r w:rsidR="00827CD8">
        <w:rPr>
          <w:rFonts w:ascii="Arial" w:hAnsi="Arial"/>
          <w:sz w:val="22"/>
          <w:szCs w:val="22"/>
        </w:rPr>
        <w:t>)</w:t>
      </w:r>
      <w:r w:rsidR="00A17FAE">
        <w:rPr>
          <w:rFonts w:ascii="Arial" w:hAnsi="Arial"/>
          <w:sz w:val="22"/>
          <w:szCs w:val="22"/>
        </w:rPr>
        <w:t xml:space="preserve"> is approximately equal to 0.1 ng/L. </w:t>
      </w:r>
      <w:r w:rsidRPr="00A17FAE">
        <w:rPr>
          <w:rFonts w:ascii="Arial" w:hAnsi="Arial"/>
          <w:i/>
          <w:sz w:val="18"/>
          <w:szCs w:val="18"/>
        </w:rPr>
        <w:t xml:space="preserve">data </w:t>
      </w:r>
      <w:r w:rsidR="00A17FAE" w:rsidRPr="00A17FAE">
        <w:rPr>
          <w:rFonts w:ascii="Arial" w:hAnsi="Arial"/>
          <w:i/>
          <w:sz w:val="18"/>
          <w:szCs w:val="18"/>
        </w:rPr>
        <w:t>source: CCME, 2010</w:t>
      </w:r>
    </w:p>
    <w:p w14:paraId="47A3E703" w14:textId="77777777" w:rsidR="00215D66" w:rsidRDefault="00215D66" w:rsidP="006B1B21">
      <w:pPr>
        <w:jc w:val="both"/>
        <w:rPr>
          <w:rFonts w:ascii="Arial" w:hAnsi="Arial"/>
          <w:sz w:val="22"/>
          <w:szCs w:val="22"/>
          <w:u w:val="single"/>
        </w:rPr>
      </w:pPr>
    </w:p>
    <w:p w14:paraId="75E23574" w14:textId="77777777" w:rsidR="00215D66" w:rsidRDefault="00215D66" w:rsidP="006B1B21">
      <w:pPr>
        <w:jc w:val="both"/>
        <w:rPr>
          <w:rFonts w:ascii="Arial" w:hAnsi="Arial"/>
          <w:sz w:val="22"/>
          <w:szCs w:val="22"/>
        </w:rPr>
      </w:pPr>
      <w:r w:rsidRPr="004C53A3">
        <w:rPr>
          <w:rFonts w:ascii="Arial" w:hAnsi="Arial"/>
          <w:sz w:val="22"/>
          <w:szCs w:val="22"/>
          <w:u w:val="single"/>
        </w:rPr>
        <w:t xml:space="preserve">4.1.3 </w:t>
      </w:r>
      <w:r w:rsidR="007D0EBA" w:rsidRPr="004C53A3">
        <w:rPr>
          <w:rFonts w:ascii="Arial" w:hAnsi="Arial"/>
          <w:sz w:val="22"/>
          <w:szCs w:val="22"/>
          <w:u w:val="single"/>
        </w:rPr>
        <w:t>Extrapolation</w:t>
      </w:r>
      <w:r w:rsidR="007D0EBA">
        <w:rPr>
          <w:rFonts w:ascii="Arial" w:hAnsi="Arial"/>
          <w:sz w:val="22"/>
          <w:szCs w:val="22"/>
          <w:u w:val="single"/>
        </w:rPr>
        <w:t xml:space="preserve"> of the TRV to Florida-Specific Receptors</w:t>
      </w:r>
    </w:p>
    <w:p w14:paraId="02299B68" w14:textId="77777777" w:rsidR="001B47CA" w:rsidRDefault="001B47CA" w:rsidP="006B1B21">
      <w:pPr>
        <w:jc w:val="both"/>
        <w:rPr>
          <w:rFonts w:ascii="Arial" w:hAnsi="Arial"/>
          <w:sz w:val="22"/>
          <w:szCs w:val="22"/>
        </w:rPr>
      </w:pPr>
    </w:p>
    <w:p w14:paraId="113B866D" w14:textId="77777777" w:rsidR="004C53A3" w:rsidRDefault="001B47CA" w:rsidP="006B1B21">
      <w:pPr>
        <w:jc w:val="both"/>
        <w:rPr>
          <w:rFonts w:ascii="Arial" w:hAnsi="Arial"/>
          <w:sz w:val="22"/>
          <w:szCs w:val="22"/>
        </w:rPr>
      </w:pPr>
      <w:r>
        <w:rPr>
          <w:rFonts w:ascii="Arial" w:hAnsi="Arial"/>
          <w:sz w:val="22"/>
          <w:szCs w:val="22"/>
        </w:rPr>
        <w:tab/>
      </w:r>
      <w:r w:rsidR="007D0EBA">
        <w:rPr>
          <w:rFonts w:ascii="Arial" w:hAnsi="Arial"/>
          <w:sz w:val="22"/>
          <w:szCs w:val="22"/>
        </w:rPr>
        <w:t xml:space="preserve">Because test species do not usually match the species present at a site, </w:t>
      </w:r>
      <w:r w:rsidR="00CA0ED2">
        <w:rPr>
          <w:rFonts w:ascii="Arial" w:hAnsi="Arial"/>
          <w:sz w:val="22"/>
          <w:szCs w:val="22"/>
        </w:rPr>
        <w:t>TRVs may need to be extrapolated to protect Florida species.  A</w:t>
      </w:r>
      <w:r w:rsidR="007D0EBA">
        <w:rPr>
          <w:rFonts w:ascii="Arial" w:hAnsi="Arial"/>
          <w:sz w:val="22"/>
          <w:szCs w:val="22"/>
        </w:rPr>
        <w:t>llometric scaling or the application of uncertainty factors may be used to adjust the TRV.</w:t>
      </w:r>
      <w:r w:rsidR="0080071A">
        <w:rPr>
          <w:rFonts w:ascii="Arial" w:hAnsi="Arial"/>
          <w:sz w:val="22"/>
          <w:szCs w:val="22"/>
        </w:rPr>
        <w:t xml:space="preserve">  TRVs should not be </w:t>
      </w:r>
      <w:r w:rsidR="004C53A3">
        <w:rPr>
          <w:rFonts w:ascii="Arial" w:hAnsi="Arial"/>
          <w:sz w:val="22"/>
          <w:szCs w:val="22"/>
        </w:rPr>
        <w:t>extrapolated across taxonomic class (e.g., mammals to birds) with the exception of the extrapolation of an avian TRV to reptiles when an endangered species is exposed and reptile toxicity information is nonexistent.</w:t>
      </w:r>
      <w:r w:rsidR="007D0EBA">
        <w:rPr>
          <w:rFonts w:ascii="Arial" w:hAnsi="Arial"/>
          <w:sz w:val="22"/>
          <w:szCs w:val="22"/>
        </w:rPr>
        <w:t xml:space="preserve"> </w:t>
      </w:r>
      <w:r w:rsidR="004C53A3">
        <w:rPr>
          <w:rFonts w:ascii="Arial" w:hAnsi="Arial"/>
          <w:sz w:val="22"/>
          <w:szCs w:val="22"/>
        </w:rPr>
        <w:t xml:space="preserve"> </w:t>
      </w:r>
    </w:p>
    <w:p w14:paraId="33A0CC6E" w14:textId="77777777" w:rsidR="00CA0ED2" w:rsidRDefault="00CA0ED2" w:rsidP="006B1B21">
      <w:pPr>
        <w:jc w:val="both"/>
        <w:rPr>
          <w:rFonts w:ascii="Arial" w:hAnsi="Arial"/>
          <w:sz w:val="22"/>
          <w:szCs w:val="22"/>
        </w:rPr>
      </w:pPr>
    </w:p>
    <w:p w14:paraId="3ACF77B8" w14:textId="77777777" w:rsidR="004C53A3" w:rsidRDefault="004C53A3" w:rsidP="006B1B21">
      <w:pPr>
        <w:jc w:val="both"/>
        <w:rPr>
          <w:rFonts w:ascii="Arial" w:hAnsi="Arial"/>
          <w:sz w:val="22"/>
          <w:szCs w:val="22"/>
        </w:rPr>
      </w:pPr>
      <w:r>
        <w:rPr>
          <w:rFonts w:ascii="Arial" w:hAnsi="Arial"/>
          <w:i/>
          <w:sz w:val="22"/>
          <w:szCs w:val="22"/>
          <w:u w:val="single"/>
        </w:rPr>
        <w:t>4.1.3.1 Allometric Scaling</w:t>
      </w:r>
    </w:p>
    <w:p w14:paraId="4430ACEE" w14:textId="77777777" w:rsidR="00D351B5" w:rsidRDefault="00D351B5" w:rsidP="006B1B21">
      <w:pPr>
        <w:jc w:val="both"/>
        <w:rPr>
          <w:rFonts w:ascii="Arial" w:hAnsi="Arial"/>
          <w:sz w:val="22"/>
          <w:szCs w:val="22"/>
        </w:rPr>
      </w:pPr>
    </w:p>
    <w:p w14:paraId="1A66ED32" w14:textId="77777777" w:rsidR="00D351B5" w:rsidRDefault="00D351B5" w:rsidP="006B1B21">
      <w:pPr>
        <w:jc w:val="both"/>
        <w:rPr>
          <w:rFonts w:ascii="Arial" w:hAnsi="Arial"/>
          <w:sz w:val="22"/>
          <w:szCs w:val="22"/>
        </w:rPr>
      </w:pPr>
      <w:r>
        <w:rPr>
          <w:rFonts w:ascii="Arial" w:hAnsi="Arial"/>
          <w:sz w:val="22"/>
          <w:szCs w:val="22"/>
        </w:rPr>
        <w:tab/>
        <w:t>Allometric scaling accounts for different body weights between the test specie</w:t>
      </w:r>
      <w:r w:rsidR="00BB09AC">
        <w:rPr>
          <w:rFonts w:ascii="Arial" w:hAnsi="Arial"/>
          <w:sz w:val="22"/>
          <w:szCs w:val="22"/>
        </w:rPr>
        <w:t>s and the species of concern.  For birds, the scaling factor is not significantly different from 1 and no adjustment is needed.  For mammals, i</w:t>
      </w:r>
      <w:r>
        <w:rPr>
          <w:rFonts w:ascii="Arial" w:hAnsi="Arial"/>
          <w:sz w:val="22"/>
          <w:szCs w:val="22"/>
        </w:rPr>
        <w:t>t can be calculated based on the following equation:</w:t>
      </w:r>
    </w:p>
    <w:p w14:paraId="79A65C9F" w14:textId="77777777" w:rsidR="00D351B5" w:rsidRDefault="00D351B5" w:rsidP="006B1B21">
      <w:pPr>
        <w:jc w:val="both"/>
        <w:rPr>
          <w:rFonts w:ascii="Arial" w:hAnsi="Arial"/>
          <w:sz w:val="22"/>
          <w:szCs w:val="22"/>
        </w:rPr>
      </w:pPr>
    </w:p>
    <w:p w14:paraId="7E3C2835" w14:textId="77777777" w:rsidR="00D351B5" w:rsidRPr="006855B6" w:rsidRDefault="00B723ED" w:rsidP="006B1B21">
      <w:pPr>
        <w:jc w:val="both"/>
        <w:rPr>
          <w:rFonts w:ascii="Arial" w:hAnsi="Arial"/>
          <w:sz w:val="22"/>
          <w:szCs w:val="22"/>
        </w:rPr>
      </w:pPr>
      <m:oMathPara>
        <m:oMath>
          <m:sSub>
            <m:sSubPr>
              <m:ctrlPr>
                <w:rPr>
                  <w:rFonts w:ascii="Cambria Math" w:hAnsi="Cambria Math"/>
                  <w:i/>
                  <w:sz w:val="22"/>
                  <w:szCs w:val="22"/>
                </w:rPr>
              </m:ctrlPr>
            </m:sSubPr>
            <m:e>
              <m:r>
                <w:rPr>
                  <w:rFonts w:ascii="Cambria Math" w:hAnsi="Cambria Math"/>
                  <w:sz w:val="22"/>
                  <w:szCs w:val="22"/>
                </w:rPr>
                <m:t>NOAEL</m:t>
              </m:r>
            </m:e>
            <m:sub>
              <m:r>
                <w:rPr>
                  <w:rFonts w:ascii="Cambria Math" w:hAnsi="Cambria Math"/>
                  <w:sz w:val="22"/>
                  <w:szCs w:val="22"/>
                </w:rPr>
                <m:t xml:space="preserve">F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NOAEL</m:t>
              </m:r>
            </m:e>
            <m:sub>
              <m:r>
                <w:rPr>
                  <w:rFonts w:ascii="Cambria Math" w:hAnsi="Cambria Math"/>
                  <w:sz w:val="22"/>
                  <w:szCs w:val="22"/>
                </w:rPr>
                <m:t>T</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BW</m:t>
                          </m:r>
                        </m:e>
                        <m:sub>
                          <m:r>
                            <w:rPr>
                              <w:rFonts w:ascii="Cambria Math" w:hAnsi="Cambria Math"/>
                              <w:sz w:val="22"/>
                              <w:szCs w:val="22"/>
                            </w:rPr>
                            <m:t>T</m:t>
                          </m:r>
                        </m:sub>
                      </m:sSub>
                    </m:num>
                    <m:den>
                      <m:sSub>
                        <m:sSubPr>
                          <m:ctrlPr>
                            <w:rPr>
                              <w:rFonts w:ascii="Cambria Math" w:hAnsi="Cambria Math"/>
                              <w:i/>
                              <w:sz w:val="22"/>
                              <w:szCs w:val="22"/>
                            </w:rPr>
                          </m:ctrlPr>
                        </m:sSubPr>
                        <m:e>
                          <m:r>
                            <w:rPr>
                              <w:rFonts w:ascii="Cambria Math" w:hAnsi="Cambria Math"/>
                              <w:sz w:val="22"/>
                              <w:szCs w:val="22"/>
                            </w:rPr>
                            <m:t>BW</m:t>
                          </m:r>
                        </m:e>
                        <m:sub>
                          <m:r>
                            <w:rPr>
                              <w:rFonts w:ascii="Cambria Math" w:hAnsi="Cambria Math"/>
                              <w:sz w:val="22"/>
                              <w:szCs w:val="22"/>
                            </w:rPr>
                            <m:t>F</m:t>
                          </m:r>
                        </m:sub>
                      </m:sSub>
                    </m:den>
                  </m:f>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4</m:t>
                  </m:r>
                </m:den>
              </m:f>
            </m:sup>
          </m:sSup>
        </m:oMath>
      </m:oMathPara>
    </w:p>
    <w:p w14:paraId="64DF818C" w14:textId="77777777" w:rsidR="006855B6" w:rsidRDefault="006855B6" w:rsidP="006B1B21">
      <w:pPr>
        <w:jc w:val="both"/>
        <w:rPr>
          <w:rFonts w:ascii="Arial" w:hAnsi="Arial"/>
          <w:sz w:val="22"/>
          <w:szCs w:val="22"/>
        </w:rPr>
      </w:pPr>
    </w:p>
    <w:p w14:paraId="6D79C148" w14:textId="77777777" w:rsidR="006855B6" w:rsidRDefault="006855B6" w:rsidP="006B1B21">
      <w:pPr>
        <w:jc w:val="both"/>
        <w:rPr>
          <w:rFonts w:ascii="Arial" w:hAnsi="Arial"/>
          <w:sz w:val="22"/>
          <w:szCs w:val="22"/>
        </w:rPr>
      </w:pPr>
      <w:r>
        <w:rPr>
          <w:rFonts w:ascii="Arial" w:hAnsi="Arial"/>
          <w:sz w:val="22"/>
          <w:szCs w:val="22"/>
        </w:rPr>
        <w:t>where:</w:t>
      </w:r>
    </w:p>
    <w:p w14:paraId="72F8D6CC" w14:textId="77777777" w:rsidR="006855B6" w:rsidRDefault="006855B6" w:rsidP="006B1B21">
      <w:pPr>
        <w:jc w:val="both"/>
        <w:rPr>
          <w:rFonts w:ascii="Arial" w:hAnsi="Arial"/>
          <w:sz w:val="22"/>
          <w:szCs w:val="22"/>
        </w:rPr>
      </w:pPr>
    </w:p>
    <w:p w14:paraId="4F5542D3" w14:textId="77777777" w:rsidR="006855B6" w:rsidRDefault="006855B6" w:rsidP="006B1B21">
      <w:pPr>
        <w:jc w:val="both"/>
        <w:rPr>
          <w:rFonts w:ascii="Arial" w:hAnsi="Arial"/>
          <w:sz w:val="22"/>
          <w:szCs w:val="22"/>
        </w:rPr>
      </w:pPr>
      <w:r>
        <w:rPr>
          <w:rFonts w:ascii="Arial" w:hAnsi="Arial"/>
          <w:sz w:val="22"/>
          <w:szCs w:val="22"/>
        </w:rPr>
        <w:t>NOAEL</w:t>
      </w:r>
      <w:r>
        <w:rPr>
          <w:rFonts w:ascii="Arial" w:hAnsi="Arial"/>
          <w:sz w:val="22"/>
          <w:szCs w:val="22"/>
          <w:vertAlign w:val="subscript"/>
        </w:rPr>
        <w:t>F</w:t>
      </w:r>
      <w:r>
        <w:rPr>
          <w:rFonts w:ascii="Arial" w:hAnsi="Arial"/>
          <w:sz w:val="22"/>
          <w:szCs w:val="22"/>
        </w:rPr>
        <w:t xml:space="preserve"> = NOAEL for a Florida species</w:t>
      </w:r>
    </w:p>
    <w:p w14:paraId="14F17617" w14:textId="77777777" w:rsidR="006855B6" w:rsidRDefault="006855B6" w:rsidP="006B1B21">
      <w:pPr>
        <w:jc w:val="both"/>
        <w:rPr>
          <w:rFonts w:ascii="Arial" w:hAnsi="Arial"/>
          <w:sz w:val="22"/>
          <w:szCs w:val="22"/>
        </w:rPr>
      </w:pPr>
      <w:r>
        <w:rPr>
          <w:rFonts w:ascii="Arial" w:hAnsi="Arial"/>
          <w:sz w:val="22"/>
          <w:szCs w:val="22"/>
        </w:rPr>
        <w:t>NOAEL</w:t>
      </w:r>
      <w:r>
        <w:rPr>
          <w:rFonts w:ascii="Arial" w:hAnsi="Arial"/>
          <w:sz w:val="22"/>
          <w:szCs w:val="22"/>
          <w:vertAlign w:val="subscript"/>
        </w:rPr>
        <w:t>T</w:t>
      </w:r>
      <w:r>
        <w:rPr>
          <w:rFonts w:ascii="Arial" w:hAnsi="Arial"/>
          <w:sz w:val="22"/>
          <w:szCs w:val="22"/>
        </w:rPr>
        <w:t xml:space="preserve"> = NOAEL for a test species</w:t>
      </w:r>
    </w:p>
    <w:p w14:paraId="0E4C173E" w14:textId="77777777" w:rsidR="006855B6" w:rsidRDefault="006855B6" w:rsidP="006B1B21">
      <w:pPr>
        <w:jc w:val="both"/>
        <w:rPr>
          <w:rFonts w:ascii="Arial" w:hAnsi="Arial"/>
          <w:sz w:val="22"/>
          <w:szCs w:val="22"/>
        </w:rPr>
      </w:pPr>
      <w:r>
        <w:rPr>
          <w:rFonts w:ascii="Arial" w:hAnsi="Arial"/>
          <w:sz w:val="22"/>
          <w:szCs w:val="22"/>
        </w:rPr>
        <w:t>BW</w:t>
      </w:r>
      <w:r>
        <w:rPr>
          <w:rFonts w:ascii="Arial" w:hAnsi="Arial"/>
          <w:sz w:val="22"/>
          <w:szCs w:val="22"/>
          <w:vertAlign w:val="subscript"/>
        </w:rPr>
        <w:t>F</w:t>
      </w:r>
      <w:r>
        <w:rPr>
          <w:rFonts w:ascii="Arial" w:hAnsi="Arial"/>
          <w:sz w:val="22"/>
          <w:szCs w:val="22"/>
        </w:rPr>
        <w:t xml:space="preserve"> = body weight of a Florida species</w:t>
      </w:r>
    </w:p>
    <w:p w14:paraId="1824528F" w14:textId="77777777" w:rsidR="006855B6" w:rsidRPr="006855B6" w:rsidRDefault="006855B6" w:rsidP="006B1B21">
      <w:pPr>
        <w:jc w:val="both"/>
        <w:rPr>
          <w:rFonts w:ascii="Arial" w:hAnsi="Arial"/>
          <w:sz w:val="22"/>
          <w:szCs w:val="22"/>
        </w:rPr>
      </w:pPr>
      <w:r>
        <w:rPr>
          <w:rFonts w:ascii="Arial" w:hAnsi="Arial"/>
          <w:sz w:val="22"/>
          <w:szCs w:val="22"/>
        </w:rPr>
        <w:t>BW</w:t>
      </w:r>
      <w:r>
        <w:rPr>
          <w:rFonts w:ascii="Arial" w:hAnsi="Arial"/>
          <w:sz w:val="22"/>
          <w:szCs w:val="22"/>
          <w:vertAlign w:val="subscript"/>
        </w:rPr>
        <w:t>T</w:t>
      </w:r>
      <w:r>
        <w:rPr>
          <w:rFonts w:ascii="Arial" w:hAnsi="Arial"/>
          <w:sz w:val="22"/>
          <w:szCs w:val="22"/>
        </w:rPr>
        <w:t xml:space="preserve"> = body weight of a test species</w:t>
      </w:r>
    </w:p>
    <w:p w14:paraId="447FF1CB" w14:textId="77777777" w:rsidR="004C53A3" w:rsidRDefault="004C53A3" w:rsidP="006B1B21">
      <w:pPr>
        <w:jc w:val="both"/>
        <w:rPr>
          <w:rFonts w:ascii="Arial" w:hAnsi="Arial"/>
          <w:i/>
          <w:sz w:val="22"/>
          <w:szCs w:val="22"/>
          <w:u w:val="single"/>
        </w:rPr>
      </w:pPr>
    </w:p>
    <w:p w14:paraId="7B6BDB46" w14:textId="77777777" w:rsidR="00D351B5" w:rsidRPr="004C53A3" w:rsidRDefault="00D351B5" w:rsidP="006B1B21">
      <w:pPr>
        <w:jc w:val="both"/>
        <w:rPr>
          <w:rFonts w:ascii="Arial" w:hAnsi="Arial"/>
          <w:i/>
          <w:sz w:val="22"/>
          <w:szCs w:val="22"/>
          <w:u w:val="single"/>
        </w:rPr>
      </w:pPr>
      <w:r>
        <w:rPr>
          <w:rFonts w:ascii="Arial" w:hAnsi="Arial"/>
          <w:i/>
          <w:sz w:val="22"/>
          <w:szCs w:val="22"/>
          <w:u w:val="single"/>
        </w:rPr>
        <w:t>4.1.3.2 Uncertainty Factors</w:t>
      </w:r>
    </w:p>
    <w:p w14:paraId="73C80729" w14:textId="77777777" w:rsidR="00215D66" w:rsidRDefault="00215D66" w:rsidP="006B1B21">
      <w:pPr>
        <w:jc w:val="both"/>
        <w:rPr>
          <w:rFonts w:ascii="Arial" w:hAnsi="Arial"/>
          <w:sz w:val="22"/>
          <w:szCs w:val="22"/>
        </w:rPr>
      </w:pPr>
    </w:p>
    <w:p w14:paraId="5BC79E1D" w14:textId="601A6FB9" w:rsidR="000917F1" w:rsidRDefault="00B955D5" w:rsidP="006B1B21">
      <w:pPr>
        <w:jc w:val="both"/>
        <w:rPr>
          <w:rFonts w:ascii="Arial" w:hAnsi="Arial"/>
          <w:sz w:val="22"/>
          <w:szCs w:val="22"/>
        </w:rPr>
      </w:pPr>
      <w:r>
        <w:rPr>
          <w:rFonts w:ascii="Arial" w:hAnsi="Arial"/>
          <w:sz w:val="22"/>
          <w:szCs w:val="22"/>
        </w:rPr>
        <w:tab/>
        <w:t>Uncertainty factors (UFs) can be utilized to account for uncertainty in extrapolation between endpoints and exposure duration.  Uncertainty factors relevant to the derivation of ecological TRVs include</w:t>
      </w:r>
      <w:r w:rsidR="007E3A1D">
        <w:rPr>
          <w:rFonts w:ascii="Arial" w:hAnsi="Arial"/>
          <w:sz w:val="22"/>
          <w:szCs w:val="22"/>
        </w:rPr>
        <w:t xml:space="preserve"> (</w:t>
      </w:r>
      <w:r w:rsidR="004C6278">
        <w:rPr>
          <w:rFonts w:ascii="Arial" w:hAnsi="Arial"/>
          <w:sz w:val="22"/>
          <w:szCs w:val="22"/>
        </w:rPr>
        <w:t xml:space="preserve">CHPPM, 2000; </w:t>
      </w:r>
      <w:r w:rsidR="007E3A1D">
        <w:rPr>
          <w:rFonts w:ascii="Arial" w:hAnsi="Arial"/>
          <w:sz w:val="22"/>
          <w:szCs w:val="22"/>
        </w:rPr>
        <w:t>US EPA, 1999)</w:t>
      </w:r>
      <w:r>
        <w:rPr>
          <w:rFonts w:ascii="Arial" w:hAnsi="Arial"/>
          <w:sz w:val="22"/>
          <w:szCs w:val="22"/>
        </w:rPr>
        <w:t>:</w:t>
      </w:r>
    </w:p>
    <w:p w14:paraId="14099FDF" w14:textId="77777777" w:rsidR="00B955D5" w:rsidRDefault="00B955D5" w:rsidP="006B1B21">
      <w:pPr>
        <w:jc w:val="both"/>
        <w:rPr>
          <w:rFonts w:ascii="Arial" w:hAnsi="Arial"/>
          <w:sz w:val="22"/>
          <w:szCs w:val="22"/>
        </w:rPr>
      </w:pPr>
    </w:p>
    <w:p w14:paraId="5046DF9D" w14:textId="77777777" w:rsidR="00B955D5" w:rsidRDefault="00B955D5" w:rsidP="00B955D5">
      <w:pPr>
        <w:pStyle w:val="ListParagraph"/>
        <w:numPr>
          <w:ilvl w:val="0"/>
          <w:numId w:val="19"/>
        </w:numPr>
        <w:jc w:val="both"/>
        <w:rPr>
          <w:rFonts w:ascii="Arial" w:hAnsi="Arial"/>
          <w:sz w:val="22"/>
          <w:szCs w:val="22"/>
        </w:rPr>
      </w:pPr>
      <w:r>
        <w:rPr>
          <w:rFonts w:ascii="Arial" w:hAnsi="Arial"/>
          <w:sz w:val="22"/>
          <w:szCs w:val="22"/>
        </w:rPr>
        <w:t xml:space="preserve">A UF of 10 is </w:t>
      </w:r>
      <w:r w:rsidR="00BA11EF">
        <w:rPr>
          <w:rFonts w:ascii="Arial" w:hAnsi="Arial"/>
          <w:sz w:val="22"/>
          <w:szCs w:val="22"/>
        </w:rPr>
        <w:t>applied</w:t>
      </w:r>
      <w:r>
        <w:rPr>
          <w:rFonts w:ascii="Arial" w:hAnsi="Arial"/>
          <w:sz w:val="22"/>
          <w:szCs w:val="22"/>
        </w:rPr>
        <w:t xml:space="preserve"> to extrapolate a </w:t>
      </w:r>
      <w:r w:rsidR="00BA11EF">
        <w:rPr>
          <w:rFonts w:ascii="Arial" w:hAnsi="Arial"/>
          <w:sz w:val="22"/>
          <w:szCs w:val="22"/>
        </w:rPr>
        <w:t>LOAEL to a NOAEL</w:t>
      </w:r>
      <w:r>
        <w:rPr>
          <w:rFonts w:ascii="Arial" w:hAnsi="Arial"/>
          <w:sz w:val="22"/>
          <w:szCs w:val="22"/>
        </w:rPr>
        <w:t xml:space="preserve">.  </w:t>
      </w:r>
    </w:p>
    <w:p w14:paraId="49FD6D51" w14:textId="77777777" w:rsidR="00B955D5" w:rsidRDefault="00B955D5" w:rsidP="00B955D5">
      <w:pPr>
        <w:pStyle w:val="ListParagraph"/>
        <w:jc w:val="both"/>
        <w:rPr>
          <w:rFonts w:ascii="Arial" w:hAnsi="Arial"/>
          <w:sz w:val="22"/>
          <w:szCs w:val="22"/>
        </w:rPr>
      </w:pPr>
    </w:p>
    <w:p w14:paraId="1A5789C1" w14:textId="77777777" w:rsidR="00CA0ED2" w:rsidRDefault="00B955D5" w:rsidP="00B955D5">
      <w:pPr>
        <w:pStyle w:val="ListParagraph"/>
        <w:numPr>
          <w:ilvl w:val="0"/>
          <w:numId w:val="19"/>
        </w:numPr>
        <w:jc w:val="both"/>
        <w:rPr>
          <w:rFonts w:ascii="Arial" w:hAnsi="Arial"/>
          <w:sz w:val="22"/>
          <w:szCs w:val="22"/>
        </w:rPr>
      </w:pPr>
      <w:r>
        <w:rPr>
          <w:rFonts w:ascii="Arial" w:hAnsi="Arial"/>
          <w:sz w:val="22"/>
          <w:szCs w:val="22"/>
        </w:rPr>
        <w:t xml:space="preserve">A UF of 10 is </w:t>
      </w:r>
      <w:r w:rsidR="00BA11EF">
        <w:rPr>
          <w:rFonts w:ascii="Arial" w:hAnsi="Arial"/>
          <w:sz w:val="22"/>
          <w:szCs w:val="22"/>
        </w:rPr>
        <w:t>applied</w:t>
      </w:r>
      <w:r>
        <w:rPr>
          <w:rFonts w:ascii="Arial" w:hAnsi="Arial"/>
          <w:sz w:val="22"/>
          <w:szCs w:val="22"/>
        </w:rPr>
        <w:t xml:space="preserve"> to extrapolate </w:t>
      </w:r>
      <w:r w:rsidR="002F3405">
        <w:rPr>
          <w:rFonts w:ascii="Arial" w:hAnsi="Arial"/>
          <w:sz w:val="22"/>
          <w:szCs w:val="22"/>
        </w:rPr>
        <w:t>from a subchronic to</w:t>
      </w:r>
      <w:r>
        <w:rPr>
          <w:rFonts w:ascii="Arial" w:hAnsi="Arial"/>
          <w:sz w:val="22"/>
          <w:szCs w:val="22"/>
        </w:rPr>
        <w:t xml:space="preserve"> chronic exposure duration.  </w:t>
      </w:r>
    </w:p>
    <w:p w14:paraId="2B4C75F9" w14:textId="77777777" w:rsidR="00CA0ED2" w:rsidRDefault="00CA0ED2" w:rsidP="00CA0ED2">
      <w:pPr>
        <w:pStyle w:val="ListParagraph"/>
        <w:jc w:val="both"/>
        <w:rPr>
          <w:rFonts w:ascii="Arial" w:hAnsi="Arial"/>
          <w:sz w:val="22"/>
          <w:szCs w:val="22"/>
        </w:rPr>
      </w:pPr>
    </w:p>
    <w:p w14:paraId="2F56A886" w14:textId="77777777" w:rsidR="00B955D5" w:rsidRPr="00B955D5" w:rsidRDefault="00B955D5" w:rsidP="00B955D5">
      <w:pPr>
        <w:pStyle w:val="ListParagraph"/>
        <w:numPr>
          <w:ilvl w:val="0"/>
          <w:numId w:val="19"/>
        </w:numPr>
        <w:jc w:val="both"/>
        <w:rPr>
          <w:rFonts w:ascii="Arial" w:hAnsi="Arial"/>
          <w:sz w:val="22"/>
          <w:szCs w:val="22"/>
        </w:rPr>
      </w:pPr>
      <w:r>
        <w:rPr>
          <w:rFonts w:ascii="Arial" w:hAnsi="Arial"/>
          <w:sz w:val="22"/>
          <w:szCs w:val="22"/>
        </w:rPr>
        <w:t xml:space="preserve">A UF of 100 is </w:t>
      </w:r>
      <w:r w:rsidR="00BA11EF">
        <w:rPr>
          <w:rFonts w:ascii="Arial" w:hAnsi="Arial"/>
          <w:sz w:val="22"/>
          <w:szCs w:val="22"/>
        </w:rPr>
        <w:t>applied</w:t>
      </w:r>
      <w:r>
        <w:rPr>
          <w:rFonts w:ascii="Arial" w:hAnsi="Arial"/>
          <w:sz w:val="22"/>
          <w:szCs w:val="22"/>
        </w:rPr>
        <w:t xml:space="preserve"> to extrapolate an acute lethal value (e.g., LC</w:t>
      </w:r>
      <w:r>
        <w:rPr>
          <w:rFonts w:ascii="Arial" w:hAnsi="Arial"/>
          <w:sz w:val="22"/>
          <w:szCs w:val="22"/>
          <w:vertAlign w:val="subscript"/>
        </w:rPr>
        <w:t>50</w:t>
      </w:r>
      <w:r>
        <w:rPr>
          <w:rFonts w:ascii="Arial" w:hAnsi="Arial"/>
          <w:sz w:val="22"/>
          <w:szCs w:val="22"/>
        </w:rPr>
        <w:t>) to a NOAEL.</w:t>
      </w:r>
    </w:p>
    <w:p w14:paraId="2A8BF911" w14:textId="77777777" w:rsidR="000917F1" w:rsidRPr="000917F1" w:rsidRDefault="000917F1" w:rsidP="006B1B21">
      <w:pPr>
        <w:jc w:val="both"/>
        <w:rPr>
          <w:rFonts w:ascii="Arial" w:hAnsi="Arial"/>
          <w:sz w:val="22"/>
          <w:szCs w:val="22"/>
        </w:rPr>
      </w:pPr>
    </w:p>
    <w:p w14:paraId="56DED997" w14:textId="77777777" w:rsidR="00215D66" w:rsidRDefault="00B54D63" w:rsidP="006B1B21">
      <w:pPr>
        <w:jc w:val="both"/>
        <w:rPr>
          <w:rFonts w:ascii="Arial" w:hAnsi="Arial"/>
          <w:i/>
          <w:sz w:val="22"/>
          <w:szCs w:val="22"/>
        </w:rPr>
      </w:pPr>
      <w:r>
        <w:rPr>
          <w:rFonts w:ascii="Arial" w:hAnsi="Arial"/>
          <w:i/>
          <w:sz w:val="22"/>
          <w:szCs w:val="22"/>
        </w:rPr>
        <w:t xml:space="preserve">4.2 </w:t>
      </w:r>
      <w:r w:rsidR="00467CEF">
        <w:rPr>
          <w:rFonts w:ascii="Arial" w:hAnsi="Arial"/>
          <w:i/>
          <w:sz w:val="22"/>
          <w:szCs w:val="22"/>
        </w:rPr>
        <w:t>Biological Surveys</w:t>
      </w:r>
    </w:p>
    <w:p w14:paraId="3E4E5C95" w14:textId="77777777" w:rsidR="00B54D63" w:rsidRDefault="00B54D63" w:rsidP="006B1B21">
      <w:pPr>
        <w:jc w:val="both"/>
        <w:rPr>
          <w:rFonts w:ascii="Arial" w:hAnsi="Arial"/>
          <w:i/>
          <w:sz w:val="22"/>
          <w:szCs w:val="22"/>
        </w:rPr>
      </w:pPr>
    </w:p>
    <w:p w14:paraId="5F429B17" w14:textId="77777777" w:rsidR="00B54D63" w:rsidRDefault="00B54D63" w:rsidP="006B1B21">
      <w:pPr>
        <w:jc w:val="both"/>
        <w:rPr>
          <w:rFonts w:ascii="Arial" w:hAnsi="Arial"/>
          <w:sz w:val="22"/>
          <w:szCs w:val="22"/>
        </w:rPr>
      </w:pPr>
      <w:r>
        <w:rPr>
          <w:rFonts w:ascii="Arial" w:hAnsi="Arial"/>
          <w:i/>
          <w:sz w:val="22"/>
          <w:szCs w:val="22"/>
        </w:rPr>
        <w:tab/>
      </w:r>
      <w:r w:rsidR="00467CEF">
        <w:rPr>
          <w:rFonts w:ascii="Arial" w:hAnsi="Arial"/>
          <w:sz w:val="22"/>
          <w:szCs w:val="22"/>
        </w:rPr>
        <w:t xml:space="preserve">Biological surveys compare communities and populations from a contaminated area to those in a reference area.  </w:t>
      </w:r>
      <w:r w:rsidR="00105E13">
        <w:rPr>
          <w:rFonts w:ascii="Arial" w:hAnsi="Arial"/>
          <w:sz w:val="22"/>
          <w:szCs w:val="22"/>
        </w:rPr>
        <w:t xml:space="preserve">In order for the variation between the site and reference metrics to be representative of the effects of exposure, the </w:t>
      </w:r>
      <w:r w:rsidR="0030745D">
        <w:rPr>
          <w:rFonts w:ascii="Arial" w:hAnsi="Arial"/>
          <w:sz w:val="22"/>
          <w:szCs w:val="22"/>
        </w:rPr>
        <w:t>reference</w:t>
      </w:r>
      <w:r w:rsidR="00105E13">
        <w:rPr>
          <w:rFonts w:ascii="Arial" w:hAnsi="Arial"/>
          <w:sz w:val="22"/>
          <w:szCs w:val="22"/>
        </w:rPr>
        <w:t xml:space="preserve"> properties must be stable and consistent across similar </w:t>
      </w:r>
      <w:r w:rsidR="006E222A">
        <w:rPr>
          <w:rFonts w:ascii="Arial" w:hAnsi="Arial"/>
          <w:sz w:val="22"/>
          <w:szCs w:val="22"/>
        </w:rPr>
        <w:t>uncontaminated areas</w:t>
      </w:r>
      <w:r w:rsidR="00105E13">
        <w:rPr>
          <w:rFonts w:ascii="Arial" w:hAnsi="Arial"/>
          <w:sz w:val="22"/>
          <w:szCs w:val="22"/>
        </w:rPr>
        <w:t xml:space="preserve"> (Suter, 2007).  </w:t>
      </w:r>
      <w:r w:rsidR="00D21538">
        <w:rPr>
          <w:rFonts w:ascii="Arial" w:hAnsi="Arial"/>
          <w:sz w:val="22"/>
          <w:szCs w:val="22"/>
        </w:rPr>
        <w:t>Biol</w:t>
      </w:r>
      <w:r w:rsidR="0030745D">
        <w:rPr>
          <w:rFonts w:ascii="Arial" w:hAnsi="Arial"/>
          <w:sz w:val="22"/>
          <w:szCs w:val="22"/>
        </w:rPr>
        <w:t>ogical surveys help determine if</w:t>
      </w:r>
      <w:r w:rsidR="00D21538">
        <w:rPr>
          <w:rFonts w:ascii="Arial" w:hAnsi="Arial"/>
          <w:sz w:val="22"/>
          <w:szCs w:val="22"/>
        </w:rPr>
        <w:t xml:space="preserve"> a community or population is impaired from exposu</w:t>
      </w:r>
      <w:r w:rsidR="0030745D">
        <w:rPr>
          <w:rFonts w:ascii="Arial" w:hAnsi="Arial"/>
          <w:sz w:val="22"/>
          <w:szCs w:val="22"/>
        </w:rPr>
        <w:t>re to one or more contaminants</w:t>
      </w:r>
      <w:r w:rsidR="00D21538">
        <w:rPr>
          <w:rFonts w:ascii="Arial" w:hAnsi="Arial"/>
          <w:sz w:val="22"/>
          <w:szCs w:val="22"/>
        </w:rPr>
        <w:t xml:space="preserve">.  </w:t>
      </w:r>
      <w:r w:rsidR="00756BC5">
        <w:rPr>
          <w:rFonts w:ascii="Arial" w:hAnsi="Arial"/>
          <w:sz w:val="22"/>
          <w:szCs w:val="22"/>
        </w:rPr>
        <w:t xml:space="preserve">Because they include stressors and exposures that may not be apparent, </w:t>
      </w:r>
      <w:r w:rsidR="00207A4F">
        <w:rPr>
          <w:rFonts w:ascii="Arial" w:hAnsi="Arial"/>
          <w:sz w:val="22"/>
          <w:szCs w:val="22"/>
        </w:rPr>
        <w:t>the cause for a change in community metric is not always clear.</w:t>
      </w:r>
      <w:r w:rsidR="00756BC5">
        <w:rPr>
          <w:rFonts w:ascii="Arial" w:hAnsi="Arial"/>
          <w:sz w:val="22"/>
          <w:szCs w:val="22"/>
        </w:rPr>
        <w:t xml:space="preserve"> </w:t>
      </w:r>
      <w:r w:rsidR="00207A4F">
        <w:rPr>
          <w:rFonts w:ascii="Arial" w:hAnsi="Arial"/>
          <w:sz w:val="22"/>
          <w:szCs w:val="22"/>
        </w:rPr>
        <w:t xml:space="preserve"> </w:t>
      </w:r>
      <w:r w:rsidR="00AC4A3B">
        <w:rPr>
          <w:rFonts w:ascii="Arial" w:hAnsi="Arial"/>
          <w:sz w:val="22"/>
          <w:szCs w:val="22"/>
        </w:rPr>
        <w:t xml:space="preserve">If biological survey data show a statistically significant decrease </w:t>
      </w:r>
      <w:r w:rsidR="00880862">
        <w:rPr>
          <w:rFonts w:ascii="Arial" w:hAnsi="Arial"/>
          <w:sz w:val="22"/>
          <w:szCs w:val="22"/>
        </w:rPr>
        <w:t xml:space="preserve">of 20% or more </w:t>
      </w:r>
      <w:r w:rsidR="00AC4A3B">
        <w:rPr>
          <w:rFonts w:ascii="Arial" w:hAnsi="Arial"/>
          <w:sz w:val="22"/>
          <w:szCs w:val="22"/>
        </w:rPr>
        <w:t xml:space="preserve">in abundance, production, or diversity, </w:t>
      </w:r>
      <w:r w:rsidR="00880862">
        <w:rPr>
          <w:rFonts w:ascii="Arial" w:hAnsi="Arial"/>
          <w:sz w:val="22"/>
          <w:szCs w:val="22"/>
        </w:rPr>
        <w:t>the decrease is considered ecologically significant and will likely result in adverse effects at the population level</w:t>
      </w:r>
      <w:r w:rsidR="0044637D">
        <w:rPr>
          <w:rFonts w:ascii="Arial" w:hAnsi="Arial"/>
          <w:sz w:val="22"/>
          <w:szCs w:val="22"/>
        </w:rPr>
        <w:t>.</w:t>
      </w:r>
      <w:r w:rsidR="00F113C5">
        <w:rPr>
          <w:rFonts w:ascii="Arial" w:hAnsi="Arial"/>
          <w:sz w:val="22"/>
          <w:szCs w:val="22"/>
        </w:rPr>
        <w:t xml:space="preserve">  If</w:t>
      </w:r>
      <w:r w:rsidR="00880862">
        <w:rPr>
          <w:rFonts w:ascii="Arial" w:hAnsi="Arial"/>
          <w:sz w:val="22"/>
          <w:szCs w:val="22"/>
        </w:rPr>
        <w:t xml:space="preserve"> statistically significant effects are noted with less than a 20% decrease in community metrics, the effects are not likely to cause a decline in the population over time.</w:t>
      </w:r>
      <w:r w:rsidR="0044637D">
        <w:rPr>
          <w:rFonts w:ascii="Arial" w:hAnsi="Arial"/>
          <w:sz w:val="22"/>
          <w:szCs w:val="22"/>
        </w:rPr>
        <w:t xml:space="preserve">  Methodologies for biological community sampling in Florida are described in standard operating procedure </w:t>
      </w:r>
      <w:hyperlink r:id="rId38" w:history="1">
        <w:r w:rsidR="0044637D" w:rsidRPr="0044637D">
          <w:rPr>
            <w:rStyle w:val="Hyperlink"/>
            <w:rFonts w:ascii="Arial" w:hAnsi="Arial"/>
            <w:sz w:val="22"/>
            <w:szCs w:val="22"/>
          </w:rPr>
          <w:t>FS 7000</w:t>
        </w:r>
      </w:hyperlink>
      <w:r w:rsidR="0044637D">
        <w:rPr>
          <w:rFonts w:ascii="Arial" w:hAnsi="Arial"/>
          <w:sz w:val="22"/>
          <w:szCs w:val="22"/>
        </w:rPr>
        <w:t xml:space="preserve"> (FDEP, 2008)</w:t>
      </w:r>
    </w:p>
    <w:p w14:paraId="1944AED4" w14:textId="77777777" w:rsidR="00492490" w:rsidRDefault="00492490" w:rsidP="006B1B21">
      <w:pPr>
        <w:jc w:val="both"/>
        <w:rPr>
          <w:rFonts w:ascii="Arial" w:hAnsi="Arial"/>
          <w:sz w:val="22"/>
          <w:szCs w:val="22"/>
        </w:rPr>
      </w:pPr>
    </w:p>
    <w:p w14:paraId="776240FB" w14:textId="77777777" w:rsidR="006A23B8" w:rsidRDefault="006A23B8" w:rsidP="006B1B21">
      <w:pPr>
        <w:jc w:val="both"/>
        <w:rPr>
          <w:rFonts w:ascii="Arial" w:hAnsi="Arial"/>
          <w:sz w:val="22"/>
          <w:szCs w:val="22"/>
        </w:rPr>
      </w:pPr>
    </w:p>
    <w:p w14:paraId="7AF3BCF3" w14:textId="77777777" w:rsidR="00492490" w:rsidRDefault="00492490" w:rsidP="006B1B21">
      <w:pPr>
        <w:jc w:val="both"/>
        <w:rPr>
          <w:rFonts w:ascii="Arial" w:hAnsi="Arial"/>
          <w:i/>
          <w:sz w:val="22"/>
          <w:szCs w:val="22"/>
        </w:rPr>
      </w:pPr>
      <w:r>
        <w:rPr>
          <w:rFonts w:ascii="Arial" w:hAnsi="Arial"/>
          <w:i/>
          <w:sz w:val="22"/>
          <w:szCs w:val="22"/>
        </w:rPr>
        <w:lastRenderedPageBreak/>
        <w:t>4.3 Toxicity Testing</w:t>
      </w:r>
    </w:p>
    <w:p w14:paraId="73A4B07C" w14:textId="77777777" w:rsidR="00492490" w:rsidRDefault="00492490" w:rsidP="006B1B21">
      <w:pPr>
        <w:jc w:val="both"/>
        <w:rPr>
          <w:rFonts w:ascii="Arial" w:hAnsi="Arial"/>
          <w:i/>
          <w:sz w:val="22"/>
          <w:szCs w:val="22"/>
        </w:rPr>
      </w:pPr>
    </w:p>
    <w:p w14:paraId="101368C8" w14:textId="77777777" w:rsidR="00E2421A" w:rsidRDefault="00492490" w:rsidP="006B1B21">
      <w:pPr>
        <w:jc w:val="both"/>
        <w:rPr>
          <w:rFonts w:ascii="Arial" w:hAnsi="Arial"/>
          <w:sz w:val="22"/>
          <w:szCs w:val="22"/>
        </w:rPr>
      </w:pPr>
      <w:r>
        <w:rPr>
          <w:rFonts w:ascii="Arial" w:hAnsi="Arial"/>
          <w:i/>
          <w:sz w:val="22"/>
          <w:szCs w:val="22"/>
        </w:rPr>
        <w:tab/>
      </w:r>
      <w:r>
        <w:rPr>
          <w:rFonts w:ascii="Arial" w:hAnsi="Arial"/>
          <w:sz w:val="22"/>
          <w:szCs w:val="22"/>
        </w:rPr>
        <w:t>Site-specific toxicity testing includes both field and laboratory studies</w:t>
      </w:r>
      <w:r w:rsidR="006C5C56">
        <w:rPr>
          <w:rFonts w:ascii="Arial" w:hAnsi="Arial"/>
          <w:sz w:val="22"/>
          <w:szCs w:val="22"/>
        </w:rPr>
        <w:t xml:space="preserve"> and can be performed for </w:t>
      </w:r>
      <w:r w:rsidR="00C33A5D">
        <w:rPr>
          <w:rFonts w:ascii="Arial" w:hAnsi="Arial"/>
          <w:sz w:val="22"/>
          <w:szCs w:val="22"/>
        </w:rPr>
        <w:t>any media that represent</w:t>
      </w:r>
      <w:r w:rsidR="00EB6E2E">
        <w:rPr>
          <w:rFonts w:ascii="Arial" w:hAnsi="Arial"/>
          <w:sz w:val="22"/>
          <w:szCs w:val="22"/>
        </w:rPr>
        <w:t>s</w:t>
      </w:r>
      <w:r w:rsidR="00C33A5D">
        <w:rPr>
          <w:rFonts w:ascii="Arial" w:hAnsi="Arial"/>
          <w:sz w:val="22"/>
          <w:szCs w:val="22"/>
        </w:rPr>
        <w:t xml:space="preserve"> an exposure concern</w:t>
      </w:r>
      <w:r>
        <w:rPr>
          <w:rFonts w:ascii="Arial" w:hAnsi="Arial"/>
          <w:sz w:val="22"/>
          <w:szCs w:val="22"/>
        </w:rPr>
        <w:t>.</w:t>
      </w:r>
      <w:r w:rsidR="006C5C56">
        <w:rPr>
          <w:rFonts w:ascii="Arial" w:hAnsi="Arial"/>
          <w:sz w:val="22"/>
          <w:szCs w:val="22"/>
        </w:rPr>
        <w:t xml:space="preserve">  In the State of Florida, toxicity testing is primarily used to </w:t>
      </w:r>
      <w:r w:rsidR="00C33A5D">
        <w:rPr>
          <w:rFonts w:ascii="Arial" w:hAnsi="Arial"/>
          <w:sz w:val="22"/>
          <w:szCs w:val="22"/>
        </w:rPr>
        <w:t>estimate</w:t>
      </w:r>
      <w:r w:rsidR="006C5C56">
        <w:rPr>
          <w:rFonts w:ascii="Arial" w:hAnsi="Arial"/>
          <w:sz w:val="22"/>
          <w:szCs w:val="22"/>
        </w:rPr>
        <w:t xml:space="preserve"> the toxicity of sediments at </w:t>
      </w:r>
      <w:r w:rsidR="00C33A5D">
        <w:rPr>
          <w:rFonts w:ascii="Arial" w:hAnsi="Arial"/>
          <w:sz w:val="22"/>
          <w:szCs w:val="22"/>
        </w:rPr>
        <w:t>sites</w:t>
      </w:r>
      <w:r w:rsidR="006C5C56">
        <w:rPr>
          <w:rFonts w:ascii="Arial" w:hAnsi="Arial"/>
          <w:sz w:val="22"/>
          <w:szCs w:val="22"/>
        </w:rPr>
        <w:t xml:space="preserve"> where bioavailability or the presence of multiple contaminants is of concern. </w:t>
      </w:r>
      <w:r w:rsidR="0030745D">
        <w:rPr>
          <w:rFonts w:ascii="Arial" w:hAnsi="Arial"/>
          <w:sz w:val="22"/>
          <w:szCs w:val="22"/>
        </w:rPr>
        <w:t xml:space="preserve"> </w:t>
      </w:r>
      <w:r w:rsidR="006865FF">
        <w:rPr>
          <w:rFonts w:ascii="Arial" w:hAnsi="Arial"/>
          <w:sz w:val="22"/>
          <w:szCs w:val="22"/>
        </w:rPr>
        <w:t xml:space="preserve">Whole-sediment and pore-water toxicity testing in Florida follows the methodology outlined in </w:t>
      </w:r>
      <w:hyperlink r:id="rId39" w:history="1">
        <w:r w:rsidR="006865FF" w:rsidRPr="00254385">
          <w:rPr>
            <w:rStyle w:val="Hyperlink"/>
            <w:rFonts w:ascii="Arial" w:hAnsi="Arial"/>
            <w:i/>
            <w:sz w:val="22"/>
            <w:szCs w:val="22"/>
          </w:rPr>
          <w:t xml:space="preserve">A Guidance Manual to Support the Assessment of Contaminated Sediments in </w:t>
        </w:r>
        <w:r w:rsidR="00CC7F24" w:rsidRPr="00254385">
          <w:rPr>
            <w:rStyle w:val="Hyperlink"/>
            <w:rFonts w:ascii="Arial" w:hAnsi="Arial"/>
            <w:i/>
            <w:sz w:val="22"/>
            <w:szCs w:val="22"/>
          </w:rPr>
          <w:t>Freshwater Ecosystems, Volume III</w:t>
        </w:r>
      </w:hyperlink>
      <w:r w:rsidR="00CC7F24">
        <w:rPr>
          <w:rFonts w:ascii="Arial" w:hAnsi="Arial"/>
          <w:i/>
          <w:sz w:val="22"/>
          <w:szCs w:val="22"/>
        </w:rPr>
        <w:t xml:space="preserve"> </w:t>
      </w:r>
      <w:r w:rsidR="00CC7F24">
        <w:rPr>
          <w:rFonts w:ascii="Arial" w:hAnsi="Arial"/>
          <w:sz w:val="22"/>
          <w:szCs w:val="22"/>
        </w:rPr>
        <w:t>(</w:t>
      </w:r>
      <w:r w:rsidR="00254385">
        <w:rPr>
          <w:rFonts w:ascii="Arial" w:hAnsi="Arial"/>
          <w:sz w:val="22"/>
          <w:szCs w:val="22"/>
        </w:rPr>
        <w:t>MacDonald and Ingersoll</w:t>
      </w:r>
      <w:r w:rsidR="00CC7F24">
        <w:rPr>
          <w:rFonts w:ascii="Arial" w:hAnsi="Arial"/>
          <w:sz w:val="22"/>
          <w:szCs w:val="22"/>
        </w:rPr>
        <w:t>, 2002).</w:t>
      </w:r>
      <w:r w:rsidR="002231AC">
        <w:rPr>
          <w:rFonts w:ascii="Arial" w:hAnsi="Arial"/>
          <w:sz w:val="22"/>
          <w:szCs w:val="22"/>
        </w:rPr>
        <w:t xml:space="preserve">  Recommended toxicity test methods are </w:t>
      </w:r>
      <w:r w:rsidR="004B7DE9">
        <w:rPr>
          <w:rFonts w:ascii="Arial" w:hAnsi="Arial"/>
          <w:sz w:val="22"/>
          <w:szCs w:val="22"/>
        </w:rPr>
        <w:t>published</w:t>
      </w:r>
      <w:r w:rsidR="002231AC">
        <w:rPr>
          <w:rFonts w:ascii="Arial" w:hAnsi="Arial"/>
          <w:sz w:val="22"/>
          <w:szCs w:val="22"/>
        </w:rPr>
        <w:t xml:space="preserve"> in a memorandum </w:t>
      </w:r>
      <w:r w:rsidR="004B7DE9">
        <w:rPr>
          <w:rFonts w:ascii="Arial" w:hAnsi="Arial"/>
          <w:sz w:val="22"/>
          <w:szCs w:val="22"/>
        </w:rPr>
        <w:t xml:space="preserve">available at </w:t>
      </w:r>
      <w:hyperlink r:id="rId40" w:history="1">
        <w:r w:rsidR="004B7DE9" w:rsidRPr="004B7DE9">
          <w:rPr>
            <w:rStyle w:val="Hyperlink"/>
            <w:rFonts w:ascii="Arial" w:hAnsi="Arial"/>
            <w:sz w:val="22"/>
            <w:szCs w:val="22"/>
          </w:rPr>
          <w:t>http://www.dep.state.fl.us/waste/quick_topics/publications/documents/ToxicityTestMethodsJune242004.pdf</w:t>
        </w:r>
      </w:hyperlink>
      <w:r w:rsidR="00297F1F" w:rsidRPr="00297F1F">
        <w:rPr>
          <w:rFonts w:ascii="Arial" w:hAnsi="Arial"/>
          <w:sz w:val="22"/>
          <w:szCs w:val="22"/>
        </w:rPr>
        <w:t xml:space="preserve"> </w:t>
      </w:r>
      <w:r w:rsidR="00297F1F">
        <w:rPr>
          <w:rFonts w:ascii="Arial" w:hAnsi="Arial"/>
          <w:sz w:val="22"/>
          <w:szCs w:val="22"/>
        </w:rPr>
        <w:t>from the Florida Department of Environmental Protection</w:t>
      </w:r>
      <w:r w:rsidR="002231AC">
        <w:rPr>
          <w:rFonts w:ascii="Arial" w:hAnsi="Arial"/>
          <w:sz w:val="22"/>
          <w:szCs w:val="22"/>
        </w:rPr>
        <w:t>.</w:t>
      </w:r>
      <w:r w:rsidR="00F113C5">
        <w:rPr>
          <w:rFonts w:ascii="Arial" w:hAnsi="Arial"/>
          <w:sz w:val="22"/>
          <w:szCs w:val="22"/>
        </w:rPr>
        <w:t xml:space="preserve">  </w:t>
      </w:r>
      <w:r w:rsidR="0021268C">
        <w:rPr>
          <w:rFonts w:ascii="Arial" w:hAnsi="Arial"/>
          <w:sz w:val="22"/>
          <w:szCs w:val="22"/>
        </w:rPr>
        <w:t xml:space="preserve">Toxicity testing for 10-14 days </w:t>
      </w:r>
      <w:r w:rsidR="00E2421A">
        <w:rPr>
          <w:rFonts w:ascii="Arial" w:hAnsi="Arial"/>
          <w:sz w:val="22"/>
          <w:szCs w:val="22"/>
        </w:rPr>
        <w:t>is considered an acute exposure while 28-</w:t>
      </w:r>
      <w:r w:rsidR="0021268C">
        <w:rPr>
          <w:rFonts w:ascii="Arial" w:hAnsi="Arial"/>
          <w:sz w:val="22"/>
          <w:szCs w:val="22"/>
        </w:rPr>
        <w:t>60</w:t>
      </w:r>
      <w:r w:rsidR="00E2421A">
        <w:rPr>
          <w:rFonts w:ascii="Arial" w:hAnsi="Arial"/>
          <w:sz w:val="22"/>
          <w:szCs w:val="22"/>
        </w:rPr>
        <w:t xml:space="preserve"> days is considered chronic exposure.</w:t>
      </w:r>
      <w:r w:rsidR="0021268C">
        <w:rPr>
          <w:rFonts w:ascii="Arial" w:hAnsi="Arial"/>
          <w:sz w:val="22"/>
          <w:szCs w:val="22"/>
        </w:rPr>
        <w:t xml:space="preserve">  Acute </w:t>
      </w:r>
      <w:r w:rsidR="001B7B7A">
        <w:rPr>
          <w:rFonts w:ascii="Arial" w:hAnsi="Arial"/>
          <w:sz w:val="22"/>
          <w:szCs w:val="22"/>
        </w:rPr>
        <w:t>exposure principally measures</w:t>
      </w:r>
      <w:r w:rsidR="0021268C">
        <w:rPr>
          <w:rFonts w:ascii="Arial" w:hAnsi="Arial"/>
          <w:sz w:val="22"/>
          <w:szCs w:val="22"/>
        </w:rPr>
        <w:t xml:space="preserve"> survival.  Although growth is sometimes reported, it is not a sensitive endpoint due to the short exposure period.  </w:t>
      </w:r>
      <w:r w:rsidR="006E222A">
        <w:rPr>
          <w:rFonts w:ascii="Arial" w:hAnsi="Arial"/>
          <w:sz w:val="22"/>
          <w:szCs w:val="22"/>
        </w:rPr>
        <w:t>Chronic exposure periods are sensitive indicators of toxicity for g</w:t>
      </w:r>
      <w:r w:rsidR="0021268C">
        <w:rPr>
          <w:rFonts w:ascii="Arial" w:hAnsi="Arial"/>
          <w:sz w:val="22"/>
          <w:szCs w:val="22"/>
        </w:rPr>
        <w:t xml:space="preserve">rowth, emergence, and reproduction </w:t>
      </w:r>
      <w:r w:rsidR="00B7169B">
        <w:rPr>
          <w:rFonts w:ascii="Arial" w:hAnsi="Arial"/>
          <w:sz w:val="22"/>
          <w:szCs w:val="22"/>
        </w:rPr>
        <w:t xml:space="preserve">endpoints </w:t>
      </w:r>
      <w:r w:rsidR="00C75FCA">
        <w:rPr>
          <w:rFonts w:ascii="Arial" w:hAnsi="Arial"/>
          <w:sz w:val="22"/>
          <w:szCs w:val="22"/>
        </w:rPr>
        <w:t>(MacDonald and Ingersoll, 2002)</w:t>
      </w:r>
      <w:r w:rsidR="001B7B7A">
        <w:rPr>
          <w:rFonts w:ascii="Arial" w:hAnsi="Arial"/>
          <w:sz w:val="22"/>
          <w:szCs w:val="22"/>
        </w:rPr>
        <w:t>.</w:t>
      </w:r>
    </w:p>
    <w:p w14:paraId="53A76B24" w14:textId="77777777" w:rsidR="00E2421A" w:rsidRDefault="00E2421A" w:rsidP="006B1B21">
      <w:pPr>
        <w:jc w:val="both"/>
        <w:rPr>
          <w:rFonts w:ascii="Arial" w:hAnsi="Arial"/>
          <w:sz w:val="22"/>
          <w:szCs w:val="22"/>
        </w:rPr>
      </w:pPr>
    </w:p>
    <w:p w14:paraId="58C61D8B" w14:textId="77777777" w:rsidR="006865FF" w:rsidRPr="00CC7F24" w:rsidRDefault="0030745D" w:rsidP="00E2421A">
      <w:pPr>
        <w:ind w:firstLine="720"/>
        <w:jc w:val="both"/>
        <w:rPr>
          <w:rFonts w:ascii="Arial" w:hAnsi="Arial"/>
          <w:sz w:val="22"/>
          <w:szCs w:val="22"/>
        </w:rPr>
      </w:pPr>
      <w:r>
        <w:rPr>
          <w:rFonts w:ascii="Arial" w:hAnsi="Arial"/>
          <w:sz w:val="22"/>
          <w:szCs w:val="22"/>
        </w:rPr>
        <w:t xml:space="preserve">Florida-specific recommendations on toxicity testing are not available for soil.  However, methodologies for soil toxicity testing are summarized in </w:t>
      </w:r>
      <w:hyperlink r:id="rId41" w:history="1">
        <w:r w:rsidRPr="00254385">
          <w:rPr>
            <w:rStyle w:val="Hyperlink"/>
            <w:rFonts w:ascii="Arial" w:hAnsi="Arial"/>
            <w:i/>
            <w:sz w:val="22"/>
            <w:szCs w:val="22"/>
          </w:rPr>
          <w:t>Soil Toxicity and Bioassessment Test Methods for Ecological Risk Assessment</w:t>
        </w:r>
      </w:hyperlink>
      <w:r>
        <w:rPr>
          <w:rFonts w:ascii="Arial" w:hAnsi="Arial"/>
          <w:sz w:val="22"/>
          <w:szCs w:val="22"/>
        </w:rPr>
        <w:t xml:space="preserve"> (CalEPA, 2009). </w:t>
      </w:r>
      <w:r w:rsidR="00F113C5">
        <w:rPr>
          <w:rFonts w:ascii="Arial" w:hAnsi="Arial"/>
          <w:sz w:val="22"/>
          <w:szCs w:val="22"/>
        </w:rPr>
        <w:t xml:space="preserve">Similar to biological surveys, a statistically significant decrease of 20% or more in survival, growth, or reproduction is considered ecologically significant and will likely result in adverse effects at the population level.  If statistically significant effects are noted with less than a 20% decrease in </w:t>
      </w:r>
      <w:r w:rsidR="009B786D">
        <w:rPr>
          <w:rFonts w:ascii="Arial" w:hAnsi="Arial"/>
          <w:sz w:val="22"/>
          <w:szCs w:val="22"/>
        </w:rPr>
        <w:t>toxicity</w:t>
      </w:r>
      <w:r w:rsidR="00F113C5">
        <w:rPr>
          <w:rFonts w:ascii="Arial" w:hAnsi="Arial"/>
          <w:sz w:val="22"/>
          <w:szCs w:val="22"/>
        </w:rPr>
        <w:t xml:space="preserve"> metrics, the effects are not likely to cause a decline in the population over time.  </w:t>
      </w:r>
    </w:p>
    <w:p w14:paraId="436832B1" w14:textId="77777777" w:rsidR="00FA0BB5" w:rsidRDefault="00FA0BB5" w:rsidP="00BE6F3B">
      <w:pPr>
        <w:rPr>
          <w:rFonts w:ascii="Arial" w:hAnsi="Arial"/>
          <w:sz w:val="22"/>
          <w:szCs w:val="22"/>
        </w:rPr>
      </w:pPr>
    </w:p>
    <w:p w14:paraId="0F6D77EF" w14:textId="77777777" w:rsidR="007423F3" w:rsidRPr="007423F3" w:rsidRDefault="007423F3" w:rsidP="00BE6F3B">
      <w:pPr>
        <w:rPr>
          <w:rFonts w:ascii="Arial" w:hAnsi="Arial"/>
          <w:i/>
          <w:sz w:val="22"/>
          <w:szCs w:val="22"/>
        </w:rPr>
      </w:pPr>
      <w:r>
        <w:rPr>
          <w:rFonts w:ascii="Arial" w:hAnsi="Arial"/>
          <w:i/>
          <w:sz w:val="22"/>
          <w:szCs w:val="22"/>
        </w:rPr>
        <w:t>4.4. Probabilistic Ecological Risk Assessment</w:t>
      </w:r>
    </w:p>
    <w:p w14:paraId="759ED82C" w14:textId="77777777" w:rsidR="00215D66" w:rsidRDefault="00215D66" w:rsidP="00215D66">
      <w:pPr>
        <w:pStyle w:val="ListParagraph"/>
        <w:ind w:left="1440"/>
        <w:rPr>
          <w:rFonts w:ascii="Arial" w:hAnsi="Arial"/>
          <w:sz w:val="22"/>
          <w:szCs w:val="22"/>
        </w:rPr>
      </w:pPr>
    </w:p>
    <w:p w14:paraId="69D813B5" w14:textId="77777777" w:rsidR="00311A03" w:rsidRDefault="00311A03" w:rsidP="00FB446F">
      <w:pPr>
        <w:pStyle w:val="ListParagraph"/>
        <w:ind w:left="0" w:firstLine="720"/>
        <w:jc w:val="both"/>
        <w:rPr>
          <w:rFonts w:ascii="Arial" w:hAnsi="Arial"/>
          <w:sz w:val="22"/>
          <w:szCs w:val="22"/>
        </w:rPr>
      </w:pPr>
      <w:r>
        <w:rPr>
          <w:rFonts w:ascii="Arial" w:hAnsi="Arial"/>
          <w:sz w:val="22"/>
          <w:szCs w:val="22"/>
        </w:rPr>
        <w:t xml:space="preserve">If ecological risk estimates are significantly below or above the level of concern, the improvement in risk characterization created by a probabilistic risk assessment (PRA) are not likely to aid risk managers in decision making.  </w:t>
      </w:r>
      <w:r w:rsidR="00FB446F">
        <w:rPr>
          <w:rFonts w:ascii="Arial" w:hAnsi="Arial"/>
          <w:sz w:val="22"/>
          <w:szCs w:val="22"/>
        </w:rPr>
        <w:t xml:space="preserve">The PRA is most useful when risks are at or near the level of concern.  </w:t>
      </w:r>
      <w:r w:rsidR="005E02D7">
        <w:rPr>
          <w:rFonts w:ascii="Arial" w:hAnsi="Arial"/>
          <w:sz w:val="22"/>
          <w:szCs w:val="22"/>
        </w:rPr>
        <w:t>The methodology for performing a PRA in ecological risk assessment is similar to the methodology utilized in human health PRAs and is summarized in RAGS 3A (US EPA, 2001).</w:t>
      </w:r>
      <w:r w:rsidR="00265E2C">
        <w:rPr>
          <w:rFonts w:ascii="Arial" w:hAnsi="Arial"/>
          <w:sz w:val="22"/>
          <w:szCs w:val="22"/>
        </w:rPr>
        <w:t xml:space="preserve">  A probability distribution function (PDF) can be defined for any exposure variable in the equation as long as sufficient data exist to support the distribution.</w:t>
      </w:r>
      <w:r w:rsidR="00E80E86">
        <w:rPr>
          <w:rFonts w:ascii="Arial" w:hAnsi="Arial"/>
          <w:sz w:val="22"/>
          <w:szCs w:val="22"/>
        </w:rPr>
        <w:t xml:space="preserve">  The result </w:t>
      </w:r>
      <w:r w:rsidR="007955C9">
        <w:rPr>
          <w:rFonts w:ascii="Arial" w:hAnsi="Arial"/>
          <w:sz w:val="22"/>
          <w:szCs w:val="22"/>
        </w:rPr>
        <w:t>of the analysis is</w:t>
      </w:r>
      <w:r w:rsidR="00E80E86">
        <w:rPr>
          <w:rFonts w:ascii="Arial" w:hAnsi="Arial"/>
          <w:sz w:val="22"/>
          <w:szCs w:val="22"/>
        </w:rPr>
        <w:t xml:space="preserve"> a distribution of risk (represented by the hazard quotient) that would be expected in the population of concern.  </w:t>
      </w:r>
    </w:p>
    <w:p w14:paraId="2178ED2F" w14:textId="77777777" w:rsidR="00E80E86" w:rsidRDefault="00E80E86" w:rsidP="00FB446F">
      <w:pPr>
        <w:pStyle w:val="ListParagraph"/>
        <w:ind w:left="0" w:firstLine="720"/>
        <w:jc w:val="both"/>
        <w:rPr>
          <w:rFonts w:ascii="Arial" w:hAnsi="Arial"/>
          <w:sz w:val="22"/>
          <w:szCs w:val="22"/>
        </w:rPr>
      </w:pPr>
    </w:p>
    <w:p w14:paraId="372FE32A" w14:textId="03053304" w:rsidR="00E80E86" w:rsidRDefault="00E80E86" w:rsidP="00FB446F">
      <w:pPr>
        <w:pStyle w:val="ListParagraph"/>
        <w:ind w:left="0" w:firstLine="720"/>
        <w:jc w:val="both"/>
        <w:rPr>
          <w:rFonts w:ascii="Arial" w:hAnsi="Arial"/>
          <w:sz w:val="22"/>
          <w:szCs w:val="22"/>
        </w:rPr>
      </w:pPr>
      <w:r>
        <w:rPr>
          <w:rFonts w:ascii="Arial" w:hAnsi="Arial"/>
          <w:sz w:val="22"/>
          <w:szCs w:val="22"/>
        </w:rPr>
        <w:t xml:space="preserve">Another use of ecological PRA </w:t>
      </w:r>
      <w:r w:rsidR="00DC0CA3">
        <w:rPr>
          <w:rFonts w:ascii="Arial" w:hAnsi="Arial"/>
          <w:sz w:val="22"/>
          <w:szCs w:val="22"/>
        </w:rPr>
        <w:t>is to compare the cumulative distribution of exposure concentrations to the species sensitivity distribution (</w:t>
      </w:r>
      <w:r w:rsidR="00DC0CA3" w:rsidRPr="006C1677">
        <w:rPr>
          <w:rFonts w:ascii="Arial" w:hAnsi="Arial"/>
          <w:sz w:val="22"/>
          <w:szCs w:val="22"/>
        </w:rPr>
        <w:t>Figure 6</w:t>
      </w:r>
      <w:r w:rsidR="00DC0CA3">
        <w:rPr>
          <w:rFonts w:ascii="Arial" w:hAnsi="Arial"/>
          <w:sz w:val="22"/>
          <w:szCs w:val="22"/>
        </w:rPr>
        <w:t xml:space="preserve">).  </w:t>
      </w:r>
      <w:r w:rsidR="005B3490">
        <w:rPr>
          <w:rFonts w:ascii="Arial" w:hAnsi="Arial"/>
          <w:sz w:val="22"/>
          <w:szCs w:val="22"/>
        </w:rPr>
        <w:t>This provides a quantitative estimate of the percentage of species at the site expected to exceed their TRV at a specified percentile on the exposure distribution (US EPA, 2001).  For example, in Figure 6, the 90</w:t>
      </w:r>
      <w:r w:rsidR="005B3490" w:rsidRPr="005B3490">
        <w:rPr>
          <w:rFonts w:ascii="Arial" w:hAnsi="Arial"/>
          <w:sz w:val="22"/>
          <w:szCs w:val="22"/>
          <w:vertAlign w:val="superscript"/>
        </w:rPr>
        <w:t>th</w:t>
      </w:r>
      <w:r w:rsidR="005B3490">
        <w:rPr>
          <w:rFonts w:ascii="Arial" w:hAnsi="Arial"/>
          <w:sz w:val="22"/>
          <w:szCs w:val="22"/>
        </w:rPr>
        <w:t xml:space="preserve"> percentile concentration at the site is equivalent to the </w:t>
      </w:r>
      <w:r w:rsidR="00FF5FBE">
        <w:rPr>
          <w:rFonts w:ascii="Arial" w:hAnsi="Arial"/>
          <w:sz w:val="22"/>
          <w:szCs w:val="22"/>
        </w:rPr>
        <w:t>19</w:t>
      </w:r>
      <w:r w:rsidR="005B3490" w:rsidRPr="005B3490">
        <w:rPr>
          <w:rFonts w:ascii="Arial" w:hAnsi="Arial"/>
          <w:sz w:val="22"/>
          <w:szCs w:val="22"/>
          <w:vertAlign w:val="superscript"/>
        </w:rPr>
        <w:t>th</w:t>
      </w:r>
      <w:r w:rsidR="005B3490">
        <w:rPr>
          <w:rFonts w:ascii="Arial" w:hAnsi="Arial"/>
          <w:sz w:val="22"/>
          <w:szCs w:val="22"/>
        </w:rPr>
        <w:t xml:space="preserve"> percentile on the species sensitivity distribution.  This suggests that,</w:t>
      </w:r>
      <w:r w:rsidR="00FF5FBE">
        <w:rPr>
          <w:rFonts w:ascii="Arial" w:hAnsi="Arial"/>
          <w:sz w:val="22"/>
          <w:szCs w:val="22"/>
        </w:rPr>
        <w:t xml:space="preserve"> for 90% of the affected area, 19</w:t>
      </w:r>
      <w:r w:rsidR="005B3490">
        <w:rPr>
          <w:rFonts w:ascii="Arial" w:hAnsi="Arial"/>
          <w:sz w:val="22"/>
          <w:szCs w:val="22"/>
        </w:rPr>
        <w:t xml:space="preserve">% of the species (or less) will be </w:t>
      </w:r>
      <w:r w:rsidR="00E74D3E">
        <w:rPr>
          <w:rFonts w:ascii="Arial" w:hAnsi="Arial"/>
          <w:sz w:val="22"/>
          <w:szCs w:val="22"/>
        </w:rPr>
        <w:t xml:space="preserve">adversely </w:t>
      </w:r>
      <w:r w:rsidR="005B3490">
        <w:rPr>
          <w:rFonts w:ascii="Arial" w:hAnsi="Arial"/>
          <w:sz w:val="22"/>
          <w:szCs w:val="22"/>
        </w:rPr>
        <w:t xml:space="preserve">impacted by the </w:t>
      </w:r>
      <w:r w:rsidR="00E74D3E">
        <w:rPr>
          <w:rFonts w:ascii="Arial" w:hAnsi="Arial"/>
          <w:sz w:val="22"/>
          <w:szCs w:val="22"/>
        </w:rPr>
        <w:t>exposure.</w:t>
      </w:r>
    </w:p>
    <w:p w14:paraId="432A99D9" w14:textId="77777777" w:rsidR="001E2473" w:rsidRDefault="001E2473" w:rsidP="001E2473">
      <w:pPr>
        <w:jc w:val="both"/>
        <w:rPr>
          <w:rFonts w:ascii="Arial" w:hAnsi="Arial"/>
          <w:sz w:val="22"/>
          <w:szCs w:val="22"/>
        </w:rPr>
      </w:pPr>
    </w:p>
    <w:p w14:paraId="2656B6AA" w14:textId="7B567F76" w:rsidR="004E6E78" w:rsidRDefault="004E6E78" w:rsidP="001E2473">
      <w:pPr>
        <w:jc w:val="both"/>
        <w:rPr>
          <w:rFonts w:ascii="Arial" w:hAnsi="Arial"/>
          <w:sz w:val="22"/>
          <w:szCs w:val="22"/>
        </w:rPr>
      </w:pPr>
      <w:r>
        <w:rPr>
          <w:rFonts w:ascii="Arial" w:hAnsi="Arial"/>
          <w:noProof/>
          <w:sz w:val="22"/>
          <w:szCs w:val="22"/>
        </w:rPr>
        <w:lastRenderedPageBreak/>
        <w:drawing>
          <wp:inline distT="0" distB="0" distL="0" distR="0" wp14:anchorId="413E32AB" wp14:editId="2511822C">
            <wp:extent cx="3711392" cy="2469935"/>
            <wp:effectExtent l="0" t="0" r="3810" b="6985"/>
            <wp:docPr id="7" name="Picture 7" descr="Eco Risk Guidance" title="Eco Risk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11991" cy="2470334"/>
                    </a:xfrm>
                    <a:prstGeom prst="rect">
                      <a:avLst/>
                    </a:prstGeom>
                    <a:noFill/>
                    <a:ln>
                      <a:noFill/>
                    </a:ln>
                  </pic:spPr>
                </pic:pic>
              </a:graphicData>
            </a:graphic>
          </wp:inline>
        </w:drawing>
      </w:r>
    </w:p>
    <w:p w14:paraId="3683D5AD" w14:textId="70A4B484" w:rsidR="004E6E78" w:rsidRDefault="004E6E78" w:rsidP="001E2473">
      <w:pPr>
        <w:jc w:val="both"/>
        <w:rPr>
          <w:rFonts w:ascii="Arial" w:hAnsi="Arial"/>
          <w:sz w:val="22"/>
          <w:szCs w:val="22"/>
        </w:rPr>
      </w:pPr>
      <w:r>
        <w:rPr>
          <w:rFonts w:ascii="Arial" w:hAnsi="Arial"/>
          <w:sz w:val="22"/>
          <w:szCs w:val="22"/>
        </w:rPr>
        <w:t xml:space="preserve">Figure 6 </w:t>
      </w:r>
      <w:r w:rsidR="00FF5FBE">
        <w:rPr>
          <w:rFonts w:ascii="Arial" w:hAnsi="Arial"/>
          <w:sz w:val="22"/>
          <w:szCs w:val="22"/>
        </w:rPr>
        <w:t>–</w:t>
      </w:r>
      <w:r>
        <w:rPr>
          <w:rFonts w:ascii="Arial" w:hAnsi="Arial"/>
          <w:sz w:val="22"/>
          <w:szCs w:val="22"/>
        </w:rPr>
        <w:t xml:space="preserve"> </w:t>
      </w:r>
      <w:r w:rsidR="00FF5FBE">
        <w:rPr>
          <w:rFonts w:ascii="Arial" w:hAnsi="Arial"/>
          <w:sz w:val="22"/>
          <w:szCs w:val="22"/>
        </w:rPr>
        <w:t>Use of probabilistic risk assessment to determine the percent of species at risk.  In this example, the site-specific 90</w:t>
      </w:r>
      <w:r w:rsidR="00FF5FBE" w:rsidRPr="00FF5FBE">
        <w:rPr>
          <w:rFonts w:ascii="Arial" w:hAnsi="Arial"/>
          <w:sz w:val="22"/>
          <w:szCs w:val="22"/>
          <w:vertAlign w:val="superscript"/>
        </w:rPr>
        <w:t>th</w:t>
      </w:r>
      <w:r w:rsidR="00FF5FBE">
        <w:rPr>
          <w:rFonts w:ascii="Arial" w:hAnsi="Arial"/>
          <w:sz w:val="22"/>
          <w:szCs w:val="22"/>
        </w:rPr>
        <w:t xml:space="preserve"> percentile chemical concentration in surface water is equivalent to the 19</w:t>
      </w:r>
      <w:r w:rsidR="00FF5FBE" w:rsidRPr="00FF5FBE">
        <w:rPr>
          <w:rFonts w:ascii="Arial" w:hAnsi="Arial"/>
          <w:sz w:val="22"/>
          <w:szCs w:val="22"/>
          <w:vertAlign w:val="superscript"/>
        </w:rPr>
        <w:t>th</w:t>
      </w:r>
      <w:r w:rsidR="00FF5FBE">
        <w:rPr>
          <w:rFonts w:ascii="Arial" w:hAnsi="Arial"/>
          <w:sz w:val="22"/>
          <w:szCs w:val="22"/>
        </w:rPr>
        <w:t xml:space="preserve"> percentile on the species sensitivity distribution (SSD).</w:t>
      </w:r>
    </w:p>
    <w:p w14:paraId="67AA6E4C" w14:textId="77777777" w:rsidR="004E6E78" w:rsidRDefault="004E6E78" w:rsidP="001E2473">
      <w:pPr>
        <w:jc w:val="both"/>
        <w:rPr>
          <w:rFonts w:ascii="Arial" w:hAnsi="Arial"/>
          <w:sz w:val="22"/>
          <w:szCs w:val="22"/>
        </w:rPr>
      </w:pPr>
    </w:p>
    <w:p w14:paraId="545D00A2" w14:textId="77777777" w:rsidR="001E2473" w:rsidRDefault="001E2473" w:rsidP="001E2473">
      <w:pPr>
        <w:jc w:val="both"/>
        <w:rPr>
          <w:rFonts w:ascii="Arial" w:hAnsi="Arial"/>
          <w:b/>
          <w:sz w:val="22"/>
          <w:szCs w:val="22"/>
        </w:rPr>
      </w:pPr>
      <w:r>
        <w:rPr>
          <w:rFonts w:ascii="Arial" w:hAnsi="Arial"/>
          <w:b/>
          <w:sz w:val="22"/>
          <w:szCs w:val="22"/>
        </w:rPr>
        <w:t>5. Risk Characterization</w:t>
      </w:r>
    </w:p>
    <w:p w14:paraId="0EEE28C9" w14:textId="77777777" w:rsidR="00E560C8" w:rsidRDefault="00E560C8" w:rsidP="001E2473">
      <w:pPr>
        <w:jc w:val="both"/>
        <w:rPr>
          <w:rFonts w:ascii="Arial" w:hAnsi="Arial"/>
          <w:b/>
          <w:sz w:val="22"/>
          <w:szCs w:val="22"/>
        </w:rPr>
      </w:pPr>
    </w:p>
    <w:p w14:paraId="619F6A01" w14:textId="77777777" w:rsidR="00883DF7" w:rsidRPr="00883DF7" w:rsidRDefault="00883DF7" w:rsidP="001E2473">
      <w:pPr>
        <w:jc w:val="both"/>
        <w:rPr>
          <w:rFonts w:ascii="Arial" w:hAnsi="Arial"/>
          <w:sz w:val="22"/>
          <w:szCs w:val="22"/>
        </w:rPr>
      </w:pPr>
      <w:r>
        <w:rPr>
          <w:rFonts w:ascii="Arial" w:hAnsi="Arial"/>
          <w:sz w:val="22"/>
          <w:szCs w:val="22"/>
        </w:rPr>
        <w:tab/>
        <w:t xml:space="preserve">Risk characterization utilizes dose and exposure estimates to evaluate the likelihood and severity of adverse effects from exposure to </w:t>
      </w:r>
      <w:r w:rsidR="00762147">
        <w:rPr>
          <w:rFonts w:ascii="Arial" w:hAnsi="Arial"/>
          <w:sz w:val="22"/>
          <w:szCs w:val="22"/>
        </w:rPr>
        <w:t>contaminants</w:t>
      </w:r>
      <w:r>
        <w:rPr>
          <w:rFonts w:ascii="Arial" w:hAnsi="Arial"/>
          <w:sz w:val="22"/>
          <w:szCs w:val="22"/>
        </w:rPr>
        <w:t>.</w:t>
      </w:r>
      <w:r w:rsidR="00BD2F8F">
        <w:rPr>
          <w:rFonts w:ascii="Arial" w:hAnsi="Arial"/>
          <w:sz w:val="22"/>
          <w:szCs w:val="22"/>
        </w:rPr>
        <w:t xml:space="preserve">  </w:t>
      </w:r>
      <w:r w:rsidR="00612F5E">
        <w:rPr>
          <w:rFonts w:ascii="Arial" w:hAnsi="Arial"/>
          <w:sz w:val="22"/>
          <w:szCs w:val="22"/>
        </w:rPr>
        <w:t>It includes a quantitative and</w:t>
      </w:r>
      <w:r w:rsidR="00E86267">
        <w:rPr>
          <w:rFonts w:ascii="Arial" w:hAnsi="Arial"/>
          <w:sz w:val="22"/>
          <w:szCs w:val="22"/>
        </w:rPr>
        <w:t xml:space="preserve"> qualitative evaluation</w:t>
      </w:r>
      <w:r w:rsidR="0013272B">
        <w:rPr>
          <w:rFonts w:ascii="Arial" w:hAnsi="Arial"/>
          <w:sz w:val="22"/>
          <w:szCs w:val="22"/>
        </w:rPr>
        <w:t xml:space="preserve"> of the risk</w:t>
      </w:r>
      <w:r w:rsidR="00E86267">
        <w:rPr>
          <w:rFonts w:ascii="Arial" w:hAnsi="Arial"/>
          <w:sz w:val="22"/>
          <w:szCs w:val="22"/>
        </w:rPr>
        <w:t xml:space="preserve"> results.  </w:t>
      </w:r>
      <w:r w:rsidR="00612F5E">
        <w:rPr>
          <w:rFonts w:ascii="Arial" w:hAnsi="Arial"/>
          <w:sz w:val="22"/>
          <w:szCs w:val="22"/>
        </w:rPr>
        <w:t xml:space="preserve">To be useful for informing risk management decisions, </w:t>
      </w:r>
      <w:r w:rsidR="00423466">
        <w:rPr>
          <w:rFonts w:ascii="Arial" w:hAnsi="Arial"/>
          <w:sz w:val="22"/>
          <w:szCs w:val="22"/>
        </w:rPr>
        <w:t xml:space="preserve">the </w:t>
      </w:r>
      <w:r w:rsidR="00FC79A4">
        <w:rPr>
          <w:rFonts w:ascii="Arial" w:hAnsi="Arial"/>
          <w:sz w:val="22"/>
          <w:szCs w:val="22"/>
        </w:rPr>
        <w:t>risk characterization</w:t>
      </w:r>
      <w:r w:rsidR="00BD2F8F">
        <w:rPr>
          <w:rFonts w:ascii="Arial" w:hAnsi="Arial"/>
          <w:sz w:val="22"/>
          <w:szCs w:val="22"/>
        </w:rPr>
        <w:t xml:space="preserve"> should </w:t>
      </w:r>
      <w:r w:rsidR="00423466">
        <w:rPr>
          <w:rFonts w:ascii="Arial" w:hAnsi="Arial"/>
          <w:sz w:val="22"/>
          <w:szCs w:val="22"/>
        </w:rPr>
        <w:t xml:space="preserve">directly </w:t>
      </w:r>
      <w:r w:rsidR="00BD2F8F">
        <w:rPr>
          <w:rFonts w:ascii="Arial" w:hAnsi="Arial"/>
          <w:sz w:val="22"/>
          <w:szCs w:val="22"/>
        </w:rPr>
        <w:t>relate to the assessment endpoint</w:t>
      </w:r>
      <w:r w:rsidR="00044A02">
        <w:rPr>
          <w:rFonts w:ascii="Arial" w:hAnsi="Arial"/>
          <w:sz w:val="22"/>
          <w:szCs w:val="22"/>
        </w:rPr>
        <w:t>.</w:t>
      </w:r>
      <w:r w:rsidR="00E86267">
        <w:rPr>
          <w:rFonts w:ascii="Arial" w:hAnsi="Arial"/>
          <w:sz w:val="22"/>
          <w:szCs w:val="22"/>
        </w:rPr>
        <w:t xml:space="preserve">  </w:t>
      </w:r>
      <w:r w:rsidR="00612F5E">
        <w:rPr>
          <w:rFonts w:ascii="Arial" w:hAnsi="Arial"/>
          <w:sz w:val="22"/>
          <w:szCs w:val="22"/>
        </w:rPr>
        <w:t>C</w:t>
      </w:r>
      <w:r w:rsidR="00E86267">
        <w:rPr>
          <w:rFonts w:ascii="Arial" w:hAnsi="Arial"/>
          <w:sz w:val="22"/>
          <w:szCs w:val="22"/>
        </w:rPr>
        <w:t xml:space="preserve">ommon methodologies </w:t>
      </w:r>
      <w:r w:rsidR="00612F5E">
        <w:rPr>
          <w:rFonts w:ascii="Arial" w:hAnsi="Arial"/>
          <w:sz w:val="22"/>
          <w:szCs w:val="22"/>
        </w:rPr>
        <w:t>utilized for the characterization of risk</w:t>
      </w:r>
      <w:r w:rsidR="00E86267">
        <w:rPr>
          <w:rFonts w:ascii="Arial" w:hAnsi="Arial"/>
          <w:sz w:val="22"/>
          <w:szCs w:val="22"/>
        </w:rPr>
        <w:t xml:space="preserve"> are </w:t>
      </w:r>
      <w:r w:rsidR="005124D5">
        <w:rPr>
          <w:rFonts w:ascii="Arial" w:hAnsi="Arial"/>
          <w:sz w:val="22"/>
          <w:szCs w:val="22"/>
        </w:rPr>
        <w:t>described</w:t>
      </w:r>
      <w:r w:rsidR="00E86267">
        <w:rPr>
          <w:rFonts w:ascii="Arial" w:hAnsi="Arial"/>
          <w:sz w:val="22"/>
          <w:szCs w:val="22"/>
        </w:rPr>
        <w:t xml:space="preserve"> below.</w:t>
      </w:r>
    </w:p>
    <w:p w14:paraId="3BB2910A" w14:textId="77777777" w:rsidR="00883DF7" w:rsidRDefault="00883DF7" w:rsidP="001E2473">
      <w:pPr>
        <w:jc w:val="both"/>
        <w:rPr>
          <w:rFonts w:ascii="Arial" w:hAnsi="Arial"/>
          <w:b/>
          <w:sz w:val="22"/>
          <w:szCs w:val="22"/>
        </w:rPr>
      </w:pPr>
    </w:p>
    <w:p w14:paraId="4C72FCF5" w14:textId="603CCE17" w:rsidR="00E560C8" w:rsidRPr="00BF2565" w:rsidRDefault="00E560C8" w:rsidP="001E2473">
      <w:pPr>
        <w:jc w:val="both"/>
        <w:rPr>
          <w:rFonts w:ascii="Arial" w:hAnsi="Arial"/>
          <w:sz w:val="22"/>
          <w:szCs w:val="22"/>
        </w:rPr>
      </w:pPr>
      <w:r>
        <w:rPr>
          <w:rFonts w:ascii="Arial" w:hAnsi="Arial"/>
          <w:i/>
          <w:sz w:val="22"/>
          <w:szCs w:val="22"/>
        </w:rPr>
        <w:t>5.</w:t>
      </w:r>
      <w:r w:rsidRPr="00BF2565">
        <w:rPr>
          <w:rFonts w:ascii="Arial" w:hAnsi="Arial"/>
          <w:i/>
          <w:sz w:val="22"/>
          <w:szCs w:val="22"/>
        </w:rPr>
        <w:t>1 Hazard quotient</w:t>
      </w:r>
      <w:r w:rsidR="003851CB">
        <w:rPr>
          <w:rFonts w:ascii="Arial" w:hAnsi="Arial"/>
          <w:i/>
          <w:sz w:val="22"/>
          <w:szCs w:val="22"/>
        </w:rPr>
        <w:t xml:space="preserve"> &amp; </w:t>
      </w:r>
      <w:r w:rsidRPr="00BF2565">
        <w:rPr>
          <w:rFonts w:ascii="Arial" w:hAnsi="Arial"/>
          <w:i/>
          <w:sz w:val="22"/>
          <w:szCs w:val="22"/>
        </w:rPr>
        <w:t>Hazard Index</w:t>
      </w:r>
      <w:r w:rsidR="00664E68" w:rsidRPr="00BF2565">
        <w:rPr>
          <w:rFonts w:ascii="Arial" w:hAnsi="Arial"/>
          <w:i/>
          <w:sz w:val="22"/>
          <w:szCs w:val="22"/>
        </w:rPr>
        <w:t xml:space="preserve"> </w:t>
      </w:r>
    </w:p>
    <w:p w14:paraId="725F120D" w14:textId="77777777" w:rsidR="00706B94" w:rsidRDefault="00706B94" w:rsidP="001E2473">
      <w:pPr>
        <w:jc w:val="both"/>
        <w:rPr>
          <w:rFonts w:ascii="Arial" w:hAnsi="Arial"/>
          <w:sz w:val="22"/>
          <w:szCs w:val="22"/>
          <w:highlight w:val="yellow"/>
        </w:rPr>
      </w:pPr>
    </w:p>
    <w:p w14:paraId="44446EC3" w14:textId="77777777" w:rsidR="000A4757" w:rsidRDefault="0077298D" w:rsidP="001E2473">
      <w:pPr>
        <w:jc w:val="both"/>
        <w:rPr>
          <w:rFonts w:ascii="Arial" w:hAnsi="Arial"/>
          <w:sz w:val="22"/>
          <w:szCs w:val="22"/>
        </w:rPr>
      </w:pPr>
      <w:r w:rsidRPr="0077298D">
        <w:rPr>
          <w:rFonts w:ascii="Arial" w:hAnsi="Arial"/>
          <w:sz w:val="22"/>
          <w:szCs w:val="22"/>
        </w:rPr>
        <w:tab/>
        <w:t>The</w:t>
      </w:r>
      <w:r w:rsidR="000A4757">
        <w:rPr>
          <w:rFonts w:ascii="Arial" w:hAnsi="Arial"/>
          <w:sz w:val="22"/>
          <w:szCs w:val="22"/>
        </w:rPr>
        <w:t xml:space="preserve"> hazard quotient is the ratio of the predicted exposure to an effect level.  It is calculated as:</w:t>
      </w:r>
    </w:p>
    <w:p w14:paraId="105A1A5D" w14:textId="77777777" w:rsidR="000A4757" w:rsidRDefault="000A4757" w:rsidP="001E2473">
      <w:pPr>
        <w:jc w:val="both"/>
        <w:rPr>
          <w:rFonts w:ascii="Arial" w:hAnsi="Arial"/>
          <w:sz w:val="22"/>
          <w:szCs w:val="22"/>
        </w:rPr>
      </w:pPr>
    </w:p>
    <w:p w14:paraId="6BB22E5C" w14:textId="77777777" w:rsidR="000A4757" w:rsidRDefault="000A4757" w:rsidP="001E2473">
      <w:pPr>
        <w:jc w:val="both"/>
        <w:rPr>
          <w:rFonts w:ascii="Arial" w:hAnsi="Arial"/>
          <w:sz w:val="22"/>
          <w:szCs w:val="22"/>
          <w:vertAlign w:val="subscript"/>
        </w:rPr>
      </w:pPr>
      <w:r>
        <w:rPr>
          <w:rFonts w:ascii="Arial" w:hAnsi="Arial"/>
          <w:sz w:val="22"/>
          <w:szCs w:val="22"/>
        </w:rPr>
        <w:t>HQ</w:t>
      </w:r>
      <w:r>
        <w:rPr>
          <w:rFonts w:ascii="Arial" w:hAnsi="Arial"/>
          <w:sz w:val="22"/>
          <w:szCs w:val="22"/>
          <w:vertAlign w:val="subscript"/>
        </w:rPr>
        <w:t>NOAEL</w:t>
      </w:r>
      <w:r>
        <w:rPr>
          <w:rFonts w:ascii="Arial" w:hAnsi="Arial"/>
          <w:sz w:val="22"/>
          <w:szCs w:val="22"/>
        </w:rPr>
        <w:t xml:space="preserve"> = Dose/TRV</w:t>
      </w:r>
      <w:r>
        <w:rPr>
          <w:rFonts w:ascii="Arial" w:hAnsi="Arial"/>
          <w:sz w:val="22"/>
          <w:szCs w:val="22"/>
          <w:vertAlign w:val="subscript"/>
        </w:rPr>
        <w:t>NOAEL</w:t>
      </w:r>
    </w:p>
    <w:p w14:paraId="2DA971B0" w14:textId="77777777" w:rsidR="000A4757" w:rsidRPr="000A4757" w:rsidRDefault="000A4757" w:rsidP="001E2473">
      <w:pPr>
        <w:jc w:val="both"/>
        <w:rPr>
          <w:rFonts w:ascii="Arial" w:hAnsi="Arial"/>
          <w:sz w:val="22"/>
          <w:szCs w:val="22"/>
        </w:rPr>
      </w:pPr>
    </w:p>
    <w:p w14:paraId="587B46ED" w14:textId="77777777" w:rsidR="000A4757" w:rsidRDefault="000A4757" w:rsidP="000A4757">
      <w:pPr>
        <w:jc w:val="both"/>
        <w:rPr>
          <w:rFonts w:ascii="Arial" w:hAnsi="Arial"/>
          <w:sz w:val="22"/>
          <w:szCs w:val="22"/>
        </w:rPr>
      </w:pPr>
      <w:r>
        <w:rPr>
          <w:rFonts w:ascii="Arial" w:hAnsi="Arial"/>
          <w:sz w:val="22"/>
          <w:szCs w:val="22"/>
        </w:rPr>
        <w:t>HQ</w:t>
      </w:r>
      <w:r>
        <w:rPr>
          <w:rFonts w:ascii="Arial" w:hAnsi="Arial"/>
          <w:sz w:val="22"/>
          <w:szCs w:val="22"/>
          <w:vertAlign w:val="subscript"/>
        </w:rPr>
        <w:t>LOAEL</w:t>
      </w:r>
      <w:r>
        <w:rPr>
          <w:rFonts w:ascii="Arial" w:hAnsi="Arial"/>
          <w:sz w:val="22"/>
          <w:szCs w:val="22"/>
        </w:rPr>
        <w:t xml:space="preserve"> = Dose/TRV</w:t>
      </w:r>
      <w:r>
        <w:rPr>
          <w:rFonts w:ascii="Arial" w:hAnsi="Arial"/>
          <w:sz w:val="22"/>
          <w:szCs w:val="22"/>
          <w:vertAlign w:val="subscript"/>
        </w:rPr>
        <w:t>LOAEL</w:t>
      </w:r>
    </w:p>
    <w:p w14:paraId="0C5CD1B6" w14:textId="77777777" w:rsidR="000A4757" w:rsidRPr="000A4757" w:rsidRDefault="000A4757" w:rsidP="001E2473">
      <w:pPr>
        <w:jc w:val="both"/>
        <w:rPr>
          <w:rFonts w:ascii="Arial" w:hAnsi="Arial"/>
          <w:sz w:val="22"/>
          <w:szCs w:val="22"/>
        </w:rPr>
      </w:pPr>
    </w:p>
    <w:p w14:paraId="5FE5DDE6" w14:textId="77777777" w:rsidR="000A4757" w:rsidRDefault="000A4757" w:rsidP="000A4757">
      <w:pPr>
        <w:jc w:val="both"/>
        <w:rPr>
          <w:rFonts w:ascii="Arial" w:hAnsi="Arial"/>
          <w:sz w:val="22"/>
          <w:szCs w:val="22"/>
        </w:rPr>
      </w:pPr>
      <w:r>
        <w:rPr>
          <w:rFonts w:ascii="Arial" w:hAnsi="Arial"/>
          <w:sz w:val="22"/>
          <w:szCs w:val="22"/>
        </w:rPr>
        <w:t>where:</w:t>
      </w:r>
    </w:p>
    <w:p w14:paraId="107EB5E5" w14:textId="77777777" w:rsidR="000A4757" w:rsidRDefault="000A4757" w:rsidP="000A4757">
      <w:pPr>
        <w:jc w:val="both"/>
        <w:rPr>
          <w:rFonts w:ascii="Arial" w:hAnsi="Arial"/>
          <w:sz w:val="22"/>
          <w:szCs w:val="22"/>
        </w:rPr>
      </w:pPr>
    </w:p>
    <w:p w14:paraId="6814D6E6" w14:textId="77777777" w:rsidR="000A4757" w:rsidRDefault="000A4757" w:rsidP="000A4757">
      <w:pPr>
        <w:jc w:val="both"/>
        <w:rPr>
          <w:rFonts w:ascii="Arial" w:hAnsi="Arial"/>
          <w:sz w:val="22"/>
          <w:szCs w:val="22"/>
        </w:rPr>
      </w:pPr>
      <w:r>
        <w:rPr>
          <w:rFonts w:ascii="Arial" w:hAnsi="Arial"/>
          <w:sz w:val="22"/>
          <w:szCs w:val="22"/>
        </w:rPr>
        <w:t>TRV</w:t>
      </w:r>
      <w:r>
        <w:rPr>
          <w:rFonts w:ascii="Arial" w:hAnsi="Arial"/>
          <w:sz w:val="22"/>
          <w:szCs w:val="22"/>
          <w:vertAlign w:val="subscript"/>
        </w:rPr>
        <w:t>NOAEL</w:t>
      </w:r>
      <w:r>
        <w:rPr>
          <w:rFonts w:ascii="Arial" w:hAnsi="Arial"/>
          <w:sz w:val="22"/>
          <w:szCs w:val="22"/>
        </w:rPr>
        <w:t xml:space="preserve"> = </w:t>
      </w:r>
      <w:r w:rsidR="00952C8E">
        <w:rPr>
          <w:rFonts w:ascii="Arial" w:hAnsi="Arial"/>
          <w:sz w:val="22"/>
          <w:szCs w:val="22"/>
        </w:rPr>
        <w:t>t</w:t>
      </w:r>
      <w:r>
        <w:rPr>
          <w:rFonts w:ascii="Arial" w:hAnsi="Arial"/>
          <w:sz w:val="22"/>
          <w:szCs w:val="22"/>
        </w:rPr>
        <w:t>oxicity reference value for the NOAEL</w:t>
      </w:r>
      <w:r w:rsidR="004167BD">
        <w:rPr>
          <w:rFonts w:ascii="Arial" w:hAnsi="Arial"/>
          <w:sz w:val="22"/>
          <w:szCs w:val="22"/>
        </w:rPr>
        <w:t xml:space="preserve"> (mg/kg-d)</w:t>
      </w:r>
    </w:p>
    <w:p w14:paraId="0285250D" w14:textId="77777777" w:rsidR="000A4757" w:rsidRDefault="000A4757" w:rsidP="000A4757">
      <w:pPr>
        <w:jc w:val="both"/>
        <w:rPr>
          <w:rFonts w:ascii="Arial" w:hAnsi="Arial"/>
          <w:sz w:val="22"/>
          <w:szCs w:val="22"/>
        </w:rPr>
      </w:pPr>
      <w:r>
        <w:rPr>
          <w:rFonts w:ascii="Arial" w:hAnsi="Arial"/>
          <w:sz w:val="22"/>
          <w:szCs w:val="22"/>
        </w:rPr>
        <w:t>TRV</w:t>
      </w:r>
      <w:r>
        <w:rPr>
          <w:rFonts w:ascii="Arial" w:hAnsi="Arial"/>
          <w:sz w:val="22"/>
          <w:szCs w:val="22"/>
          <w:vertAlign w:val="subscript"/>
        </w:rPr>
        <w:t>LOAEL</w:t>
      </w:r>
      <w:r>
        <w:rPr>
          <w:rFonts w:ascii="Arial" w:hAnsi="Arial"/>
          <w:sz w:val="22"/>
          <w:szCs w:val="22"/>
        </w:rPr>
        <w:t xml:space="preserve"> = </w:t>
      </w:r>
      <w:r w:rsidR="00952C8E">
        <w:rPr>
          <w:rFonts w:ascii="Arial" w:hAnsi="Arial"/>
          <w:sz w:val="22"/>
          <w:szCs w:val="22"/>
        </w:rPr>
        <w:t>t</w:t>
      </w:r>
      <w:r>
        <w:rPr>
          <w:rFonts w:ascii="Arial" w:hAnsi="Arial"/>
          <w:sz w:val="22"/>
          <w:szCs w:val="22"/>
        </w:rPr>
        <w:t>oxicity reference value for the LOAEL</w:t>
      </w:r>
      <w:r w:rsidR="004167BD">
        <w:rPr>
          <w:rFonts w:ascii="Arial" w:hAnsi="Arial"/>
          <w:sz w:val="22"/>
          <w:szCs w:val="22"/>
        </w:rPr>
        <w:t xml:space="preserve"> (mg/kg-d)</w:t>
      </w:r>
    </w:p>
    <w:p w14:paraId="48EB21FD" w14:textId="77777777" w:rsidR="000A4757" w:rsidRDefault="000A4757" w:rsidP="000A4757">
      <w:pPr>
        <w:jc w:val="both"/>
        <w:rPr>
          <w:rFonts w:ascii="Arial" w:hAnsi="Arial"/>
          <w:sz w:val="22"/>
          <w:szCs w:val="22"/>
        </w:rPr>
      </w:pPr>
      <w:r>
        <w:rPr>
          <w:rFonts w:ascii="Arial" w:hAnsi="Arial"/>
          <w:sz w:val="22"/>
          <w:szCs w:val="22"/>
        </w:rPr>
        <w:t>HQ</w:t>
      </w:r>
      <w:r>
        <w:rPr>
          <w:rFonts w:ascii="Arial" w:hAnsi="Arial"/>
          <w:sz w:val="22"/>
          <w:szCs w:val="22"/>
          <w:vertAlign w:val="subscript"/>
        </w:rPr>
        <w:t>NOAEL</w:t>
      </w:r>
      <w:r>
        <w:rPr>
          <w:rFonts w:ascii="Arial" w:hAnsi="Arial"/>
          <w:sz w:val="22"/>
          <w:szCs w:val="22"/>
        </w:rPr>
        <w:t xml:space="preserve"> = </w:t>
      </w:r>
      <w:r w:rsidR="00952C8E">
        <w:rPr>
          <w:rFonts w:ascii="Arial" w:hAnsi="Arial"/>
          <w:sz w:val="22"/>
          <w:szCs w:val="22"/>
        </w:rPr>
        <w:t>h</w:t>
      </w:r>
      <w:r>
        <w:rPr>
          <w:rFonts w:ascii="Arial" w:hAnsi="Arial"/>
          <w:sz w:val="22"/>
          <w:szCs w:val="22"/>
        </w:rPr>
        <w:t>azard quotient for the NOAEL</w:t>
      </w:r>
    </w:p>
    <w:p w14:paraId="7F83BE93" w14:textId="77777777" w:rsidR="000A4757" w:rsidRDefault="000A4757" w:rsidP="000A4757">
      <w:pPr>
        <w:jc w:val="both"/>
        <w:rPr>
          <w:rFonts w:ascii="Arial" w:hAnsi="Arial"/>
          <w:sz w:val="22"/>
          <w:szCs w:val="22"/>
        </w:rPr>
      </w:pPr>
      <w:r>
        <w:rPr>
          <w:rFonts w:ascii="Arial" w:hAnsi="Arial"/>
          <w:sz w:val="22"/>
          <w:szCs w:val="22"/>
        </w:rPr>
        <w:t>HQ</w:t>
      </w:r>
      <w:r>
        <w:rPr>
          <w:rFonts w:ascii="Arial" w:hAnsi="Arial"/>
          <w:sz w:val="22"/>
          <w:szCs w:val="22"/>
          <w:vertAlign w:val="subscript"/>
        </w:rPr>
        <w:t>LOAEL</w:t>
      </w:r>
      <w:r>
        <w:rPr>
          <w:rFonts w:ascii="Arial" w:hAnsi="Arial"/>
          <w:sz w:val="22"/>
          <w:szCs w:val="22"/>
        </w:rPr>
        <w:t xml:space="preserve"> = </w:t>
      </w:r>
      <w:r w:rsidR="00952C8E">
        <w:rPr>
          <w:rFonts w:ascii="Arial" w:hAnsi="Arial"/>
          <w:sz w:val="22"/>
          <w:szCs w:val="22"/>
        </w:rPr>
        <w:t>h</w:t>
      </w:r>
      <w:r>
        <w:rPr>
          <w:rFonts w:ascii="Arial" w:hAnsi="Arial"/>
          <w:sz w:val="22"/>
          <w:szCs w:val="22"/>
        </w:rPr>
        <w:t>azard quotient for the LOAEL</w:t>
      </w:r>
    </w:p>
    <w:p w14:paraId="7C33122C" w14:textId="77777777" w:rsidR="004167BD" w:rsidRDefault="004167BD" w:rsidP="000A4757">
      <w:pPr>
        <w:jc w:val="both"/>
        <w:rPr>
          <w:rFonts w:ascii="Arial" w:hAnsi="Arial"/>
          <w:sz w:val="22"/>
          <w:szCs w:val="22"/>
        </w:rPr>
      </w:pPr>
      <w:r>
        <w:rPr>
          <w:rFonts w:ascii="Arial" w:hAnsi="Arial"/>
          <w:sz w:val="22"/>
          <w:szCs w:val="22"/>
        </w:rPr>
        <w:t xml:space="preserve">Dose = </w:t>
      </w:r>
      <w:r w:rsidR="00952C8E">
        <w:rPr>
          <w:rFonts w:ascii="Arial" w:hAnsi="Arial"/>
          <w:sz w:val="22"/>
          <w:szCs w:val="22"/>
        </w:rPr>
        <w:t>e</w:t>
      </w:r>
      <w:r>
        <w:rPr>
          <w:rFonts w:ascii="Arial" w:hAnsi="Arial"/>
          <w:sz w:val="22"/>
          <w:szCs w:val="22"/>
        </w:rPr>
        <w:t>stimated dose in mg/kg-d</w:t>
      </w:r>
    </w:p>
    <w:p w14:paraId="4E4D1D17" w14:textId="77777777" w:rsidR="008C460A" w:rsidRDefault="008C460A" w:rsidP="001E2473">
      <w:pPr>
        <w:jc w:val="both"/>
        <w:rPr>
          <w:rFonts w:ascii="Arial" w:hAnsi="Arial"/>
          <w:sz w:val="22"/>
          <w:szCs w:val="22"/>
        </w:rPr>
      </w:pPr>
    </w:p>
    <w:p w14:paraId="7F61E5FA" w14:textId="3DC6E672" w:rsidR="008C460A" w:rsidRPr="00952C8E" w:rsidRDefault="008C460A" w:rsidP="001E2473">
      <w:pPr>
        <w:jc w:val="both"/>
        <w:rPr>
          <w:rFonts w:ascii="Arial" w:hAnsi="Arial"/>
          <w:sz w:val="22"/>
          <w:szCs w:val="22"/>
        </w:rPr>
      </w:pPr>
      <w:r>
        <w:rPr>
          <w:rFonts w:ascii="Arial" w:hAnsi="Arial"/>
          <w:sz w:val="22"/>
          <w:szCs w:val="22"/>
        </w:rPr>
        <w:tab/>
        <w:t xml:space="preserve">If the hazard </w:t>
      </w:r>
      <w:r w:rsidR="00167D3D">
        <w:rPr>
          <w:rFonts w:ascii="Arial" w:hAnsi="Arial"/>
          <w:sz w:val="22"/>
          <w:szCs w:val="22"/>
        </w:rPr>
        <w:t xml:space="preserve">quotient </w:t>
      </w:r>
      <w:r>
        <w:rPr>
          <w:rFonts w:ascii="Arial" w:hAnsi="Arial"/>
          <w:sz w:val="22"/>
          <w:szCs w:val="22"/>
        </w:rPr>
        <w:t>exceed</w:t>
      </w:r>
      <w:r w:rsidR="00864BF1">
        <w:rPr>
          <w:rFonts w:ascii="Arial" w:hAnsi="Arial"/>
          <w:sz w:val="22"/>
          <w:szCs w:val="22"/>
        </w:rPr>
        <w:t>s</w:t>
      </w:r>
      <w:r>
        <w:rPr>
          <w:rFonts w:ascii="Arial" w:hAnsi="Arial"/>
          <w:sz w:val="22"/>
          <w:szCs w:val="22"/>
        </w:rPr>
        <w:t xml:space="preserve"> 1, then the TRV is exceeded and adverse effects may occur.  If the hazard </w:t>
      </w:r>
      <w:r w:rsidR="00167D3D">
        <w:rPr>
          <w:rFonts w:ascii="Arial" w:hAnsi="Arial"/>
          <w:sz w:val="22"/>
          <w:szCs w:val="22"/>
        </w:rPr>
        <w:t xml:space="preserve">quotient </w:t>
      </w:r>
      <w:r w:rsidR="00864BF1">
        <w:rPr>
          <w:rFonts w:ascii="Arial" w:hAnsi="Arial"/>
          <w:sz w:val="22"/>
          <w:szCs w:val="22"/>
        </w:rPr>
        <w:t>is</w:t>
      </w:r>
      <w:r>
        <w:rPr>
          <w:rFonts w:ascii="Arial" w:hAnsi="Arial"/>
          <w:sz w:val="22"/>
          <w:szCs w:val="22"/>
        </w:rPr>
        <w:t xml:space="preserve"> less than 1, the estimated dose is less than the TRV and adverse effects are not expected.</w:t>
      </w:r>
    </w:p>
    <w:p w14:paraId="69C093DD" w14:textId="77777777" w:rsidR="004167BD" w:rsidRDefault="004167BD" w:rsidP="001E2473">
      <w:pPr>
        <w:jc w:val="both"/>
        <w:rPr>
          <w:rFonts w:ascii="Arial" w:hAnsi="Arial"/>
          <w:sz w:val="22"/>
          <w:szCs w:val="22"/>
        </w:rPr>
      </w:pPr>
    </w:p>
    <w:p w14:paraId="04D120F7" w14:textId="77777777" w:rsidR="00AC5A1C" w:rsidRDefault="00AC5A1C" w:rsidP="001E2473">
      <w:pPr>
        <w:jc w:val="both"/>
        <w:rPr>
          <w:rFonts w:ascii="Arial" w:hAnsi="Arial"/>
          <w:sz w:val="22"/>
          <w:szCs w:val="22"/>
        </w:rPr>
      </w:pPr>
    </w:p>
    <w:p w14:paraId="1BF582CB" w14:textId="77777777" w:rsidR="00E560C8" w:rsidRPr="00BF2565" w:rsidRDefault="00E560C8" w:rsidP="001E2473">
      <w:pPr>
        <w:jc w:val="both"/>
        <w:rPr>
          <w:rFonts w:ascii="Arial" w:hAnsi="Arial"/>
          <w:sz w:val="22"/>
          <w:szCs w:val="22"/>
        </w:rPr>
      </w:pPr>
      <w:r w:rsidRPr="00BF2565">
        <w:rPr>
          <w:rFonts w:ascii="Arial" w:hAnsi="Arial"/>
          <w:i/>
          <w:sz w:val="22"/>
          <w:szCs w:val="22"/>
        </w:rPr>
        <w:lastRenderedPageBreak/>
        <w:t>5.2 Additivity</w:t>
      </w:r>
      <w:r w:rsidR="00664E68" w:rsidRPr="00BF2565">
        <w:rPr>
          <w:rFonts w:ascii="Arial" w:hAnsi="Arial"/>
          <w:i/>
          <w:sz w:val="22"/>
          <w:szCs w:val="22"/>
        </w:rPr>
        <w:t xml:space="preserve"> </w:t>
      </w:r>
    </w:p>
    <w:p w14:paraId="34A762BD" w14:textId="77777777" w:rsidR="00706B94" w:rsidRPr="00EC4C72" w:rsidRDefault="00706B94" w:rsidP="001E2473">
      <w:pPr>
        <w:jc w:val="both"/>
        <w:rPr>
          <w:rFonts w:ascii="Arial" w:hAnsi="Arial"/>
          <w:i/>
          <w:sz w:val="22"/>
          <w:szCs w:val="22"/>
          <w:highlight w:val="yellow"/>
        </w:rPr>
      </w:pPr>
    </w:p>
    <w:p w14:paraId="1483C0F5" w14:textId="5134FA57" w:rsidR="00710BD3" w:rsidRDefault="00047500" w:rsidP="00047500">
      <w:pPr>
        <w:ind w:firstLine="720"/>
        <w:jc w:val="both"/>
        <w:rPr>
          <w:rFonts w:ascii="Arial" w:hAnsi="Arial"/>
          <w:sz w:val="22"/>
          <w:szCs w:val="22"/>
        </w:rPr>
      </w:pPr>
      <w:r>
        <w:rPr>
          <w:rFonts w:ascii="Arial" w:hAnsi="Arial"/>
          <w:sz w:val="22"/>
          <w:szCs w:val="22"/>
        </w:rPr>
        <w:t xml:space="preserve">When chemical mixtures are present, additivity is used to estimate the total risk of exposure.  There are two types of additivity: dose additivity and response additivity.  </w:t>
      </w:r>
      <w:r w:rsidR="00423466">
        <w:rPr>
          <w:rFonts w:ascii="Arial" w:hAnsi="Arial"/>
          <w:sz w:val="22"/>
          <w:szCs w:val="22"/>
        </w:rPr>
        <w:t xml:space="preserve">Dose additivity is used in the calculation of toxic equivalents (TEQs) for chemicals with the same mode of action.  </w:t>
      </w:r>
      <w:r w:rsidR="00E701F2">
        <w:rPr>
          <w:rFonts w:ascii="Arial" w:hAnsi="Arial"/>
          <w:sz w:val="22"/>
          <w:szCs w:val="22"/>
        </w:rPr>
        <w:t>Calculation of a</w:t>
      </w:r>
      <w:r>
        <w:rPr>
          <w:rFonts w:ascii="Arial" w:hAnsi="Arial"/>
          <w:sz w:val="22"/>
          <w:szCs w:val="22"/>
        </w:rPr>
        <w:t xml:space="preserve"> hazard index</w:t>
      </w:r>
      <w:r w:rsidR="00E701F2">
        <w:rPr>
          <w:rFonts w:ascii="Arial" w:hAnsi="Arial"/>
          <w:sz w:val="22"/>
          <w:szCs w:val="22"/>
        </w:rPr>
        <w:t xml:space="preserve"> is an example of response additivity</w:t>
      </w:r>
      <w:r>
        <w:rPr>
          <w:rFonts w:ascii="Arial" w:hAnsi="Arial"/>
          <w:sz w:val="22"/>
          <w:szCs w:val="22"/>
        </w:rPr>
        <w:t xml:space="preserve">.  </w:t>
      </w:r>
      <w:r w:rsidR="00167D3D">
        <w:rPr>
          <w:rFonts w:ascii="Arial" w:hAnsi="Arial"/>
          <w:sz w:val="22"/>
          <w:szCs w:val="22"/>
        </w:rPr>
        <w:t>A hazard index is the sum of hazard quotients across all chemicals affecting the same organ system.</w:t>
      </w:r>
    </w:p>
    <w:p w14:paraId="1D8E37BF" w14:textId="77777777" w:rsidR="00710BD3" w:rsidRDefault="00710BD3" w:rsidP="00047500">
      <w:pPr>
        <w:ind w:firstLine="720"/>
        <w:jc w:val="both"/>
        <w:rPr>
          <w:rFonts w:ascii="Arial" w:hAnsi="Arial"/>
          <w:sz w:val="22"/>
          <w:szCs w:val="22"/>
        </w:rPr>
      </w:pPr>
    </w:p>
    <w:p w14:paraId="73FD4B76" w14:textId="77777777" w:rsidR="00710BD3" w:rsidRPr="00710BD3" w:rsidRDefault="00710BD3" w:rsidP="00710BD3">
      <w:pPr>
        <w:jc w:val="both"/>
        <w:rPr>
          <w:rFonts w:ascii="Arial" w:hAnsi="Arial"/>
          <w:i/>
          <w:sz w:val="22"/>
          <w:szCs w:val="22"/>
          <w:u w:val="single"/>
        </w:rPr>
      </w:pPr>
      <w:r w:rsidRPr="00423466">
        <w:rPr>
          <w:rFonts w:ascii="Arial" w:hAnsi="Arial"/>
          <w:i/>
          <w:sz w:val="22"/>
          <w:szCs w:val="22"/>
          <w:u w:val="single"/>
        </w:rPr>
        <w:t>5.2.1 Response Additivity</w:t>
      </w:r>
    </w:p>
    <w:p w14:paraId="5744ED18" w14:textId="77777777" w:rsidR="00710BD3" w:rsidRDefault="00710BD3" w:rsidP="00047500">
      <w:pPr>
        <w:ind w:firstLine="720"/>
        <w:jc w:val="both"/>
        <w:rPr>
          <w:rFonts w:ascii="Arial" w:hAnsi="Arial"/>
          <w:sz w:val="22"/>
          <w:szCs w:val="22"/>
        </w:rPr>
      </w:pPr>
    </w:p>
    <w:p w14:paraId="0A489C0C" w14:textId="36981E5A" w:rsidR="00864BF1" w:rsidRDefault="00167D3D" w:rsidP="00047500">
      <w:pPr>
        <w:ind w:firstLine="720"/>
        <w:jc w:val="both"/>
        <w:rPr>
          <w:rFonts w:ascii="Arial" w:hAnsi="Arial"/>
          <w:sz w:val="22"/>
          <w:szCs w:val="22"/>
        </w:rPr>
      </w:pPr>
      <w:r>
        <w:rPr>
          <w:rFonts w:ascii="Arial" w:hAnsi="Arial"/>
          <w:sz w:val="22"/>
          <w:szCs w:val="22"/>
        </w:rPr>
        <w:t xml:space="preserve">The hazard index </w:t>
      </w:r>
      <w:r w:rsidR="00864BF1">
        <w:rPr>
          <w:rFonts w:ascii="Arial" w:hAnsi="Arial"/>
          <w:sz w:val="22"/>
          <w:szCs w:val="22"/>
        </w:rPr>
        <w:t>is calculated as:</w:t>
      </w:r>
    </w:p>
    <w:p w14:paraId="1E97222C" w14:textId="77777777" w:rsidR="00864BF1" w:rsidRDefault="00864BF1" w:rsidP="00864BF1">
      <w:pPr>
        <w:jc w:val="both"/>
        <w:rPr>
          <w:rFonts w:ascii="Arial" w:hAnsi="Arial"/>
          <w:sz w:val="22"/>
          <w:szCs w:val="22"/>
        </w:rPr>
      </w:pPr>
    </w:p>
    <w:p w14:paraId="2706B319" w14:textId="77777777" w:rsidR="00864BF1" w:rsidRPr="004167BD" w:rsidRDefault="00B723ED" w:rsidP="00864BF1">
      <w:pPr>
        <w:jc w:val="both"/>
        <w:rPr>
          <w:rFonts w:ascii="Arial" w:hAnsi="Arial"/>
          <w:sz w:val="22"/>
          <w:szCs w:val="22"/>
        </w:rPr>
      </w:pPr>
      <m:oMath>
        <m:sSub>
          <m:sSubPr>
            <m:ctrlPr>
              <w:rPr>
                <w:rFonts w:ascii="Cambria Math" w:hAnsi="Cambria Math"/>
                <w:i/>
                <w:sz w:val="22"/>
                <w:szCs w:val="22"/>
              </w:rPr>
            </m:ctrlPr>
          </m:sSubPr>
          <m:e>
            <m:r>
              <w:rPr>
                <w:rFonts w:ascii="Cambria Math" w:hAnsi="Cambria Math"/>
                <w:sz w:val="22"/>
                <w:szCs w:val="22"/>
              </w:rPr>
              <m:t>HI</m:t>
            </m:r>
          </m:e>
          <m:sub>
            <m:r>
              <w:rPr>
                <w:rFonts w:ascii="Cambria Math" w:hAnsi="Cambria Math"/>
                <w:sz w:val="22"/>
                <w:szCs w:val="22"/>
              </w:rPr>
              <m:t>i</m:t>
            </m:r>
          </m:sub>
        </m:sSub>
        <m:r>
          <w:rPr>
            <w:rFonts w:ascii="Cambria Math" w:hAnsi="Cambria Math"/>
            <w:sz w:val="22"/>
            <w:szCs w:val="22"/>
          </w:rPr>
          <m:t>=</m:t>
        </m:r>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HQ</m:t>
                </m:r>
              </m:e>
              <m:sub>
                <m:r>
                  <w:rPr>
                    <w:rFonts w:ascii="Cambria Math" w:hAnsi="Cambria Math"/>
                    <w:sz w:val="22"/>
                    <w:szCs w:val="22"/>
                  </w:rPr>
                  <m:t>x</m:t>
                </m:r>
              </m:sub>
            </m:sSub>
          </m:e>
        </m:nary>
      </m:oMath>
      <w:r w:rsidR="00864BF1">
        <w:rPr>
          <w:rFonts w:ascii="Arial" w:hAnsi="Arial"/>
          <w:sz w:val="22"/>
          <w:szCs w:val="22"/>
          <w:vertAlign w:val="subscript"/>
        </w:rPr>
        <w:t xml:space="preserve"> </w:t>
      </w:r>
    </w:p>
    <w:p w14:paraId="47119A00" w14:textId="77777777" w:rsidR="00864BF1" w:rsidRPr="00EC4C72" w:rsidRDefault="00864BF1" w:rsidP="00864BF1">
      <w:pPr>
        <w:jc w:val="both"/>
        <w:rPr>
          <w:rFonts w:ascii="Arial" w:hAnsi="Arial"/>
          <w:sz w:val="22"/>
          <w:szCs w:val="22"/>
          <w:highlight w:val="yellow"/>
        </w:rPr>
      </w:pPr>
    </w:p>
    <w:p w14:paraId="094DDCA0" w14:textId="77777777" w:rsidR="00864BF1" w:rsidRDefault="00864BF1" w:rsidP="00864BF1">
      <w:pPr>
        <w:jc w:val="both"/>
        <w:rPr>
          <w:rFonts w:ascii="Arial" w:hAnsi="Arial"/>
          <w:sz w:val="22"/>
          <w:szCs w:val="22"/>
        </w:rPr>
      </w:pPr>
      <w:r>
        <w:rPr>
          <w:rFonts w:ascii="Arial" w:hAnsi="Arial"/>
          <w:sz w:val="22"/>
          <w:szCs w:val="22"/>
        </w:rPr>
        <w:t>where:</w:t>
      </w:r>
    </w:p>
    <w:p w14:paraId="0B15ABD0" w14:textId="77777777" w:rsidR="00864BF1" w:rsidRDefault="00864BF1" w:rsidP="00864BF1">
      <w:pPr>
        <w:jc w:val="both"/>
        <w:rPr>
          <w:rFonts w:ascii="Arial" w:hAnsi="Arial"/>
          <w:sz w:val="22"/>
          <w:szCs w:val="22"/>
        </w:rPr>
      </w:pPr>
    </w:p>
    <w:p w14:paraId="596CFB31" w14:textId="77777777" w:rsidR="00864BF1" w:rsidRDefault="00864BF1" w:rsidP="00864BF1">
      <w:pPr>
        <w:jc w:val="both"/>
        <w:rPr>
          <w:rFonts w:ascii="Arial" w:hAnsi="Arial"/>
          <w:sz w:val="22"/>
          <w:szCs w:val="22"/>
        </w:rPr>
      </w:pPr>
      <w:r>
        <w:rPr>
          <w:rFonts w:ascii="Arial" w:hAnsi="Arial"/>
          <w:sz w:val="22"/>
          <w:szCs w:val="22"/>
        </w:rPr>
        <w:t>HI</w:t>
      </w:r>
      <w:r>
        <w:rPr>
          <w:rFonts w:ascii="Arial" w:hAnsi="Arial"/>
          <w:sz w:val="22"/>
          <w:szCs w:val="22"/>
          <w:vertAlign w:val="subscript"/>
        </w:rPr>
        <w:t>i</w:t>
      </w:r>
      <w:r>
        <w:rPr>
          <w:rFonts w:ascii="Arial" w:hAnsi="Arial"/>
          <w:sz w:val="22"/>
          <w:szCs w:val="22"/>
        </w:rPr>
        <w:t xml:space="preserve"> = hazard index for an organ system i</w:t>
      </w:r>
    </w:p>
    <w:p w14:paraId="44ED5C38" w14:textId="77777777" w:rsidR="00864BF1" w:rsidRDefault="00864BF1" w:rsidP="00864BF1">
      <w:pPr>
        <w:jc w:val="both"/>
        <w:rPr>
          <w:rFonts w:ascii="Arial" w:hAnsi="Arial"/>
          <w:sz w:val="22"/>
          <w:szCs w:val="22"/>
        </w:rPr>
      </w:pPr>
      <w:r>
        <w:rPr>
          <w:rFonts w:ascii="Arial" w:hAnsi="Arial"/>
          <w:sz w:val="22"/>
          <w:szCs w:val="22"/>
        </w:rPr>
        <w:t>HQ</w:t>
      </w:r>
      <w:r>
        <w:rPr>
          <w:rFonts w:ascii="Arial" w:hAnsi="Arial"/>
          <w:sz w:val="22"/>
          <w:szCs w:val="22"/>
          <w:vertAlign w:val="subscript"/>
        </w:rPr>
        <w:t>x</w:t>
      </w:r>
      <w:r>
        <w:rPr>
          <w:rFonts w:ascii="Arial" w:hAnsi="Arial"/>
          <w:sz w:val="22"/>
          <w:szCs w:val="22"/>
        </w:rPr>
        <w:t xml:space="preserve"> = hazard quotie</w:t>
      </w:r>
      <w:r w:rsidR="00D24581">
        <w:rPr>
          <w:rFonts w:ascii="Arial" w:hAnsi="Arial"/>
          <w:sz w:val="22"/>
          <w:szCs w:val="22"/>
        </w:rPr>
        <w:t>nt</w:t>
      </w:r>
      <w:r>
        <w:rPr>
          <w:rFonts w:ascii="Arial" w:hAnsi="Arial"/>
          <w:sz w:val="22"/>
          <w:szCs w:val="22"/>
        </w:rPr>
        <w:t xml:space="preserve"> for exposure to </w:t>
      </w:r>
      <w:r w:rsidR="00BC5844">
        <w:rPr>
          <w:rFonts w:ascii="Arial" w:hAnsi="Arial"/>
          <w:sz w:val="22"/>
          <w:szCs w:val="22"/>
        </w:rPr>
        <w:t>a</w:t>
      </w:r>
      <w:r>
        <w:rPr>
          <w:rFonts w:ascii="Arial" w:hAnsi="Arial"/>
          <w:sz w:val="22"/>
          <w:szCs w:val="22"/>
        </w:rPr>
        <w:t xml:space="preserve"> chemical that affects organ system i</w:t>
      </w:r>
    </w:p>
    <w:p w14:paraId="60F7ACE1" w14:textId="77777777" w:rsidR="00047500" w:rsidRDefault="00047500" w:rsidP="00864BF1">
      <w:pPr>
        <w:jc w:val="both"/>
        <w:rPr>
          <w:rFonts w:ascii="Arial" w:hAnsi="Arial"/>
          <w:sz w:val="22"/>
          <w:szCs w:val="22"/>
        </w:rPr>
      </w:pPr>
    </w:p>
    <w:p w14:paraId="18B01A18" w14:textId="68C4ED7A" w:rsidR="00E560C8" w:rsidRPr="00047500" w:rsidRDefault="00047500" w:rsidP="001E2473">
      <w:pPr>
        <w:jc w:val="both"/>
        <w:rPr>
          <w:rFonts w:ascii="Arial" w:hAnsi="Arial"/>
          <w:sz w:val="22"/>
          <w:szCs w:val="22"/>
        </w:rPr>
      </w:pPr>
      <w:r>
        <w:rPr>
          <w:rFonts w:ascii="Arial" w:hAnsi="Arial"/>
          <w:sz w:val="22"/>
          <w:szCs w:val="22"/>
        </w:rPr>
        <w:t xml:space="preserve">If the hazard </w:t>
      </w:r>
      <w:r w:rsidR="006C1677">
        <w:rPr>
          <w:rFonts w:ascii="Arial" w:hAnsi="Arial"/>
          <w:sz w:val="22"/>
          <w:szCs w:val="22"/>
        </w:rPr>
        <w:t>index</w:t>
      </w:r>
      <w:r>
        <w:rPr>
          <w:rFonts w:ascii="Arial" w:hAnsi="Arial"/>
          <w:sz w:val="22"/>
          <w:szCs w:val="22"/>
        </w:rPr>
        <w:t xml:space="preserve"> exceeds 1, then the TRV is exceeded and adverse effects may occur.  If the hazard </w:t>
      </w:r>
      <w:r w:rsidR="006C1677">
        <w:rPr>
          <w:rFonts w:ascii="Arial" w:hAnsi="Arial"/>
          <w:sz w:val="22"/>
          <w:szCs w:val="22"/>
        </w:rPr>
        <w:t>index</w:t>
      </w:r>
      <w:r>
        <w:rPr>
          <w:rFonts w:ascii="Arial" w:hAnsi="Arial"/>
          <w:sz w:val="22"/>
          <w:szCs w:val="22"/>
        </w:rPr>
        <w:t xml:space="preserve"> is less than 1, the total estimated dose is less than the TRV and adverse effects are not expected.</w:t>
      </w:r>
    </w:p>
    <w:p w14:paraId="36E5C2D7" w14:textId="77777777" w:rsidR="00664E68" w:rsidRDefault="00664E68" w:rsidP="001E2473">
      <w:pPr>
        <w:jc w:val="both"/>
        <w:rPr>
          <w:rFonts w:ascii="Arial" w:hAnsi="Arial"/>
          <w:i/>
          <w:sz w:val="22"/>
          <w:szCs w:val="22"/>
          <w:highlight w:val="yellow"/>
        </w:rPr>
      </w:pPr>
    </w:p>
    <w:p w14:paraId="27708DD2" w14:textId="77777777" w:rsidR="00710BD3" w:rsidRPr="00423466" w:rsidRDefault="00876F67" w:rsidP="001E2473">
      <w:pPr>
        <w:jc w:val="both"/>
        <w:rPr>
          <w:rFonts w:ascii="Arial" w:hAnsi="Arial"/>
          <w:i/>
          <w:sz w:val="22"/>
          <w:szCs w:val="22"/>
          <w:u w:val="single"/>
        </w:rPr>
      </w:pPr>
      <w:r w:rsidRPr="00423466">
        <w:rPr>
          <w:rFonts w:ascii="Arial" w:hAnsi="Arial"/>
          <w:i/>
          <w:sz w:val="22"/>
          <w:szCs w:val="22"/>
          <w:u w:val="single"/>
        </w:rPr>
        <w:t>5.2.2 Dose Additivity</w:t>
      </w:r>
    </w:p>
    <w:p w14:paraId="23FD715B" w14:textId="77777777" w:rsidR="00D670B3" w:rsidRDefault="00D670B3" w:rsidP="001E2473">
      <w:pPr>
        <w:jc w:val="both"/>
        <w:rPr>
          <w:rFonts w:ascii="Arial" w:hAnsi="Arial"/>
          <w:i/>
          <w:sz w:val="22"/>
          <w:szCs w:val="22"/>
          <w:highlight w:val="yellow"/>
          <w:u w:val="single"/>
        </w:rPr>
      </w:pPr>
    </w:p>
    <w:p w14:paraId="4CF26F26" w14:textId="6605D428" w:rsidR="00D670B3" w:rsidRPr="00D670B3" w:rsidRDefault="00D670B3" w:rsidP="001E2473">
      <w:pPr>
        <w:jc w:val="both"/>
        <w:rPr>
          <w:rFonts w:ascii="Arial" w:hAnsi="Arial"/>
          <w:sz w:val="22"/>
          <w:szCs w:val="22"/>
        </w:rPr>
      </w:pPr>
      <w:r w:rsidRPr="00D670B3">
        <w:rPr>
          <w:rFonts w:ascii="Arial" w:hAnsi="Arial"/>
          <w:i/>
          <w:sz w:val="22"/>
          <w:szCs w:val="22"/>
        </w:rPr>
        <w:tab/>
      </w:r>
      <w:r w:rsidR="009B36CA">
        <w:rPr>
          <w:rFonts w:ascii="Arial" w:hAnsi="Arial"/>
          <w:sz w:val="22"/>
          <w:szCs w:val="22"/>
        </w:rPr>
        <w:t xml:space="preserve">Dose additivity is most commonly utilized </w:t>
      </w:r>
      <w:r w:rsidR="000C7439">
        <w:rPr>
          <w:rFonts w:ascii="Arial" w:hAnsi="Arial"/>
          <w:sz w:val="22"/>
          <w:szCs w:val="22"/>
        </w:rPr>
        <w:t xml:space="preserve">when toxic equivalencies are available for </w:t>
      </w:r>
      <w:r w:rsidR="00FF103B">
        <w:rPr>
          <w:rFonts w:ascii="Arial" w:hAnsi="Arial"/>
          <w:sz w:val="22"/>
          <w:szCs w:val="22"/>
        </w:rPr>
        <w:t xml:space="preserve">congeners of a parent chemical.  In ecological risk assessment, dose additivity is utilized </w:t>
      </w:r>
      <w:r w:rsidR="009B36CA">
        <w:rPr>
          <w:rFonts w:ascii="Arial" w:hAnsi="Arial"/>
          <w:sz w:val="22"/>
          <w:szCs w:val="22"/>
        </w:rPr>
        <w:t xml:space="preserve">to calculate dioxin </w:t>
      </w:r>
      <w:r w:rsidR="009B36CA" w:rsidRPr="00FF103B">
        <w:rPr>
          <w:rFonts w:ascii="Arial" w:hAnsi="Arial"/>
          <w:sz w:val="22"/>
          <w:szCs w:val="22"/>
        </w:rPr>
        <w:t>TEQs.</w:t>
      </w:r>
      <w:r w:rsidR="00602692">
        <w:rPr>
          <w:rFonts w:ascii="Arial" w:hAnsi="Arial"/>
          <w:sz w:val="22"/>
          <w:szCs w:val="22"/>
        </w:rPr>
        <w:t xml:space="preserve">  The World Health Organization has adopted toxic equivalency factors (TEFs) for dioxin and dioxin-like PCBs in mammals, birds, and fish (Table </w:t>
      </w:r>
      <w:r w:rsidR="00BF4806">
        <w:rPr>
          <w:rFonts w:ascii="Arial" w:hAnsi="Arial"/>
          <w:sz w:val="22"/>
          <w:szCs w:val="22"/>
        </w:rPr>
        <w:t>1</w:t>
      </w:r>
      <w:r w:rsidR="00602692">
        <w:rPr>
          <w:rFonts w:ascii="Arial" w:hAnsi="Arial"/>
          <w:sz w:val="22"/>
          <w:szCs w:val="22"/>
        </w:rPr>
        <w:t>).</w:t>
      </w:r>
      <w:r w:rsidR="00D058BC">
        <w:rPr>
          <w:rFonts w:ascii="Arial" w:hAnsi="Arial"/>
          <w:sz w:val="22"/>
          <w:szCs w:val="22"/>
        </w:rPr>
        <w:t xml:space="preserve">  The TEFs are multiplied by the concentration of each detected congener to estimate an equivalent concentration of 2,3,7,8-TCDD.  The 2,3,7,8-TCDD equivalent concentrations are added, resulting in a total equivalent 2,3,7,8-TCDD concentration (or dose).</w:t>
      </w:r>
    </w:p>
    <w:p w14:paraId="0B9EDC66" w14:textId="77777777" w:rsidR="00710BD3" w:rsidRPr="00EC4C72" w:rsidRDefault="00710BD3" w:rsidP="001E2473">
      <w:pPr>
        <w:jc w:val="both"/>
        <w:rPr>
          <w:rFonts w:ascii="Arial" w:hAnsi="Arial"/>
          <w:i/>
          <w:sz w:val="22"/>
          <w:szCs w:val="22"/>
          <w:highlight w:val="yellow"/>
        </w:rPr>
      </w:pPr>
    </w:p>
    <w:p w14:paraId="6879F57E" w14:textId="77777777" w:rsidR="00E560C8" w:rsidRPr="00423466" w:rsidRDefault="00E560C8" w:rsidP="001E2473">
      <w:pPr>
        <w:jc w:val="both"/>
        <w:rPr>
          <w:rFonts w:ascii="Arial" w:hAnsi="Arial"/>
          <w:i/>
          <w:sz w:val="22"/>
          <w:szCs w:val="22"/>
        </w:rPr>
      </w:pPr>
      <w:r w:rsidRPr="00423466">
        <w:rPr>
          <w:rFonts w:ascii="Arial" w:hAnsi="Arial"/>
          <w:i/>
          <w:sz w:val="22"/>
          <w:szCs w:val="22"/>
        </w:rPr>
        <w:t xml:space="preserve">5.3 Weight of Evidence </w:t>
      </w:r>
    </w:p>
    <w:p w14:paraId="29CBC4B5" w14:textId="77777777" w:rsidR="00E560C8" w:rsidRDefault="00E560C8" w:rsidP="001E2473">
      <w:pPr>
        <w:jc w:val="both"/>
        <w:rPr>
          <w:rFonts w:ascii="Arial" w:hAnsi="Arial"/>
          <w:sz w:val="22"/>
          <w:szCs w:val="22"/>
          <w:highlight w:val="yellow"/>
        </w:rPr>
      </w:pPr>
    </w:p>
    <w:p w14:paraId="094616BE" w14:textId="77777777" w:rsidR="00E20728" w:rsidRDefault="00E20728" w:rsidP="001E2473">
      <w:pPr>
        <w:jc w:val="both"/>
        <w:rPr>
          <w:rFonts w:ascii="Arial" w:hAnsi="Arial"/>
          <w:sz w:val="22"/>
          <w:szCs w:val="22"/>
        </w:rPr>
      </w:pPr>
      <w:r w:rsidRPr="00E20728">
        <w:rPr>
          <w:rFonts w:ascii="Arial" w:hAnsi="Arial"/>
          <w:sz w:val="22"/>
          <w:szCs w:val="22"/>
        </w:rPr>
        <w:tab/>
        <w:t>The weight of evidence approach relates multiple measurement endpoints to an assessment endpoint to determine if ecological risk is of concern (Simini et al., 2000).</w:t>
      </w:r>
      <w:r w:rsidR="00A02A2B">
        <w:rPr>
          <w:rFonts w:ascii="Arial" w:hAnsi="Arial"/>
          <w:sz w:val="22"/>
          <w:szCs w:val="22"/>
        </w:rPr>
        <w:t xml:space="preserve">  </w:t>
      </w:r>
      <w:r w:rsidR="00BC5844">
        <w:rPr>
          <w:rFonts w:ascii="Arial" w:hAnsi="Arial"/>
          <w:sz w:val="22"/>
          <w:szCs w:val="22"/>
        </w:rPr>
        <w:t xml:space="preserve">Measurement endpoints are considered multiple lines of evidence used to determine the likelihood and ecological significance of the exposure on the assessment endpoint.  </w:t>
      </w:r>
      <w:r w:rsidR="00A02A2B">
        <w:rPr>
          <w:rFonts w:ascii="Arial" w:hAnsi="Arial"/>
          <w:sz w:val="22"/>
          <w:szCs w:val="22"/>
        </w:rPr>
        <w:t>For t</w:t>
      </w:r>
      <w:r w:rsidR="00514F62">
        <w:rPr>
          <w:rFonts w:ascii="Arial" w:hAnsi="Arial"/>
          <w:sz w:val="22"/>
          <w:szCs w:val="22"/>
        </w:rPr>
        <w:t>he weight of evidence</w:t>
      </w:r>
      <w:r w:rsidR="00A02A2B">
        <w:rPr>
          <w:rFonts w:ascii="Arial" w:hAnsi="Arial"/>
          <w:sz w:val="22"/>
          <w:szCs w:val="22"/>
        </w:rPr>
        <w:t xml:space="preserve"> approach, a weight is assigned to each measurement endpoint depending on the severity and relevance of the endpoint. </w:t>
      </w:r>
      <w:r w:rsidR="00DE66D6">
        <w:rPr>
          <w:rFonts w:ascii="Arial" w:hAnsi="Arial"/>
          <w:sz w:val="22"/>
          <w:szCs w:val="22"/>
        </w:rPr>
        <w:t xml:space="preserve">Professional judgment is often used to assign relative weights to each endpoint.  Due to the subjectivity inherent in this method, it is preferable to establish criteria for interpreting the results before sampling takes place. </w:t>
      </w:r>
      <w:r w:rsidR="0047282F">
        <w:rPr>
          <w:rFonts w:ascii="Arial" w:hAnsi="Arial"/>
          <w:sz w:val="22"/>
          <w:szCs w:val="22"/>
        </w:rPr>
        <w:t>This methodology incorporates uncertainty in a qualitative manner by comparing slight versus significant responses and lack of effect in assessment endpoints.</w:t>
      </w:r>
    </w:p>
    <w:p w14:paraId="1CD6BD2A" w14:textId="1124A05D" w:rsidR="00EC7CB9" w:rsidRDefault="00EC7CB9" w:rsidP="00E10554">
      <w:pPr>
        <w:jc w:val="both"/>
        <w:rPr>
          <w:rFonts w:ascii="Arial" w:hAnsi="Arial"/>
          <w:sz w:val="22"/>
          <w:szCs w:val="22"/>
        </w:rPr>
      </w:pPr>
    </w:p>
    <w:p w14:paraId="56B60440" w14:textId="77777777" w:rsidR="00801534" w:rsidRDefault="00801534" w:rsidP="00E10554">
      <w:pPr>
        <w:jc w:val="both"/>
        <w:rPr>
          <w:rFonts w:ascii="Arial" w:hAnsi="Arial"/>
          <w:sz w:val="22"/>
          <w:szCs w:val="22"/>
        </w:rPr>
      </w:pPr>
    </w:p>
    <w:p w14:paraId="1FCDE46B" w14:textId="77777777" w:rsidR="00801534" w:rsidRDefault="00801534" w:rsidP="00E10554">
      <w:pPr>
        <w:jc w:val="both"/>
        <w:rPr>
          <w:rFonts w:ascii="Arial" w:hAnsi="Arial"/>
          <w:sz w:val="22"/>
          <w:szCs w:val="22"/>
        </w:rPr>
      </w:pPr>
    </w:p>
    <w:p w14:paraId="38C09631" w14:textId="70ACD47B" w:rsidR="00801534" w:rsidRDefault="003F1649" w:rsidP="003F1649">
      <w:pPr>
        <w:ind w:firstLine="720"/>
        <w:jc w:val="both"/>
        <w:rPr>
          <w:rFonts w:ascii="Arial" w:hAnsi="Arial"/>
          <w:sz w:val="22"/>
          <w:szCs w:val="22"/>
        </w:rPr>
      </w:pPr>
      <w:r>
        <w:rPr>
          <w:rFonts w:ascii="Arial" w:hAnsi="Arial"/>
          <w:sz w:val="22"/>
          <w:szCs w:val="22"/>
        </w:rPr>
        <w:lastRenderedPageBreak/>
        <w:t>Table 1 – Toxic equivalency factors for dioxin and dioxin-like PCBs</w:t>
      </w:r>
    </w:p>
    <w:tbl>
      <w:tblPr>
        <w:tblW w:w="7210" w:type="dxa"/>
        <w:jc w:val="center"/>
        <w:tblCellMar>
          <w:left w:w="0" w:type="dxa"/>
          <w:right w:w="0" w:type="dxa"/>
        </w:tblCellMar>
        <w:tblLook w:val="0600" w:firstRow="0" w:lastRow="0" w:firstColumn="0" w:lastColumn="0" w:noHBand="1" w:noVBand="1"/>
      </w:tblPr>
      <w:tblGrid>
        <w:gridCol w:w="2980"/>
        <w:gridCol w:w="1620"/>
        <w:gridCol w:w="1350"/>
        <w:gridCol w:w="1260"/>
      </w:tblGrid>
      <w:tr w:rsidR="003F1649" w:rsidRPr="00121EB8" w14:paraId="1ABDF98B" w14:textId="77777777" w:rsidTr="003F1649">
        <w:trPr>
          <w:trHeight w:val="587"/>
          <w:jc w:val="center"/>
        </w:trPr>
        <w:tc>
          <w:tcPr>
            <w:tcW w:w="2980" w:type="dxa"/>
            <w:vMerge w:val="restart"/>
            <w:tcBorders>
              <w:top w:val="single" w:sz="8" w:space="0" w:color="000000"/>
              <w:left w:val="single" w:sz="8" w:space="0" w:color="000000"/>
              <w:bottom w:val="single" w:sz="8" w:space="0" w:color="000000"/>
              <w:right w:val="nil"/>
            </w:tcBorders>
            <w:shd w:val="clear" w:color="auto" w:fill="auto"/>
            <w:tcMar>
              <w:top w:w="10" w:type="dxa"/>
              <w:left w:w="10" w:type="dxa"/>
              <w:bottom w:w="0" w:type="dxa"/>
              <w:right w:w="10" w:type="dxa"/>
            </w:tcMar>
            <w:vAlign w:val="center"/>
            <w:hideMark/>
          </w:tcPr>
          <w:p w14:paraId="14B52F62" w14:textId="77777777" w:rsidR="003F1649" w:rsidRPr="00121EB8" w:rsidRDefault="003F1649" w:rsidP="00BB3E39">
            <w:pPr>
              <w:rPr>
                <w:rFonts w:ascii="Arial" w:hAnsi="Arial"/>
                <w:sz w:val="22"/>
                <w:szCs w:val="22"/>
              </w:rPr>
            </w:pPr>
            <w:r w:rsidRPr="00121EB8">
              <w:rPr>
                <w:rFonts w:ascii="Arial" w:hAnsi="Arial"/>
                <w:b/>
                <w:bCs/>
                <w:sz w:val="22"/>
                <w:szCs w:val="22"/>
              </w:rPr>
              <w:t>Congener</w:t>
            </w:r>
          </w:p>
        </w:tc>
        <w:tc>
          <w:tcPr>
            <w:tcW w:w="4230" w:type="dxa"/>
            <w:gridSpan w:val="3"/>
            <w:tcBorders>
              <w:top w:val="single" w:sz="8" w:space="0" w:color="000000"/>
              <w:left w:val="nil"/>
              <w:bottom w:val="nil"/>
              <w:right w:val="single" w:sz="8" w:space="0" w:color="000000"/>
            </w:tcBorders>
            <w:shd w:val="clear" w:color="auto" w:fill="auto"/>
            <w:tcMar>
              <w:top w:w="10" w:type="dxa"/>
              <w:left w:w="10" w:type="dxa"/>
              <w:bottom w:w="0" w:type="dxa"/>
              <w:right w:w="10" w:type="dxa"/>
            </w:tcMar>
            <w:vAlign w:val="center"/>
            <w:hideMark/>
          </w:tcPr>
          <w:p w14:paraId="05E76FF0" w14:textId="77777777" w:rsidR="003F1649" w:rsidRPr="00121EB8" w:rsidRDefault="003F1649" w:rsidP="00BB3E39">
            <w:pPr>
              <w:rPr>
                <w:rFonts w:ascii="Arial" w:hAnsi="Arial"/>
                <w:sz w:val="22"/>
                <w:szCs w:val="22"/>
              </w:rPr>
            </w:pPr>
            <w:r>
              <w:rPr>
                <w:rFonts w:ascii="Arial" w:hAnsi="Arial"/>
                <w:b/>
                <w:bCs/>
                <w:sz w:val="22"/>
                <w:szCs w:val="22"/>
              </w:rPr>
              <w:t xml:space="preserve">     </w:t>
            </w:r>
            <w:r w:rsidRPr="00121EB8">
              <w:rPr>
                <w:rFonts w:ascii="Arial" w:hAnsi="Arial"/>
                <w:b/>
                <w:bCs/>
                <w:sz w:val="22"/>
                <w:szCs w:val="22"/>
              </w:rPr>
              <w:t>Toxic Equivalency Factors</w:t>
            </w:r>
          </w:p>
        </w:tc>
      </w:tr>
      <w:tr w:rsidR="003F1649" w:rsidRPr="00121EB8" w14:paraId="2B1F2368" w14:textId="77777777" w:rsidTr="003F1649">
        <w:trPr>
          <w:jc w:val="center"/>
        </w:trPr>
        <w:tc>
          <w:tcPr>
            <w:tcW w:w="2980" w:type="dxa"/>
            <w:vMerge/>
            <w:tcBorders>
              <w:top w:val="single" w:sz="8" w:space="0" w:color="000000"/>
              <w:left w:val="single" w:sz="8" w:space="0" w:color="000000"/>
              <w:bottom w:val="single" w:sz="8" w:space="0" w:color="000000"/>
              <w:right w:val="nil"/>
            </w:tcBorders>
            <w:vAlign w:val="center"/>
            <w:hideMark/>
          </w:tcPr>
          <w:p w14:paraId="051B1B8C" w14:textId="77777777" w:rsidR="003F1649" w:rsidRPr="00121EB8" w:rsidRDefault="003F1649" w:rsidP="00BB3E39">
            <w:pPr>
              <w:rPr>
                <w:rFonts w:ascii="Arial" w:hAnsi="Arial"/>
                <w:sz w:val="22"/>
                <w:szCs w:val="22"/>
              </w:rPr>
            </w:pPr>
          </w:p>
        </w:tc>
        <w:tc>
          <w:tcPr>
            <w:tcW w:w="1620" w:type="dxa"/>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7BFC795C" w14:textId="77777777" w:rsidR="003F1649" w:rsidRPr="00121EB8" w:rsidRDefault="003F1649" w:rsidP="00BB3E39">
            <w:pPr>
              <w:rPr>
                <w:rFonts w:ascii="Arial" w:hAnsi="Arial"/>
                <w:sz w:val="22"/>
                <w:szCs w:val="22"/>
              </w:rPr>
            </w:pPr>
            <w:r w:rsidRPr="00121EB8">
              <w:rPr>
                <w:rFonts w:ascii="Arial" w:hAnsi="Arial"/>
                <w:b/>
                <w:bCs/>
                <w:sz w:val="22"/>
                <w:szCs w:val="22"/>
              </w:rPr>
              <w:t>Mammals</w:t>
            </w:r>
          </w:p>
        </w:tc>
        <w:tc>
          <w:tcPr>
            <w:tcW w:w="1350" w:type="dxa"/>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1FC8C4C5" w14:textId="77777777" w:rsidR="003F1649" w:rsidRPr="00121EB8" w:rsidRDefault="003F1649" w:rsidP="00BB3E39">
            <w:pPr>
              <w:rPr>
                <w:rFonts w:ascii="Arial" w:hAnsi="Arial"/>
                <w:sz w:val="22"/>
                <w:szCs w:val="22"/>
              </w:rPr>
            </w:pPr>
            <w:r w:rsidRPr="00121EB8">
              <w:rPr>
                <w:rFonts w:ascii="Arial" w:hAnsi="Arial"/>
                <w:b/>
                <w:bCs/>
                <w:sz w:val="22"/>
                <w:szCs w:val="22"/>
              </w:rPr>
              <w:t>Birds</w:t>
            </w:r>
          </w:p>
        </w:tc>
        <w:tc>
          <w:tcPr>
            <w:tcW w:w="1260"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4318744" w14:textId="77777777" w:rsidR="003F1649" w:rsidRPr="00121EB8" w:rsidRDefault="003F1649" w:rsidP="00BB3E39">
            <w:pPr>
              <w:rPr>
                <w:rFonts w:ascii="Arial" w:hAnsi="Arial"/>
                <w:sz w:val="22"/>
                <w:szCs w:val="22"/>
              </w:rPr>
            </w:pPr>
            <w:r w:rsidRPr="00121EB8">
              <w:rPr>
                <w:rFonts w:ascii="Arial" w:hAnsi="Arial"/>
                <w:b/>
                <w:bCs/>
                <w:sz w:val="22"/>
                <w:szCs w:val="22"/>
              </w:rPr>
              <w:t>Fish</w:t>
            </w:r>
          </w:p>
        </w:tc>
      </w:tr>
      <w:tr w:rsidR="003F1649" w:rsidRPr="00121EB8" w14:paraId="1EBB9BC9" w14:textId="77777777" w:rsidTr="003F1649">
        <w:trPr>
          <w:trHeight w:val="339"/>
          <w:jc w:val="center"/>
        </w:trPr>
        <w:tc>
          <w:tcPr>
            <w:tcW w:w="7210" w:type="dxa"/>
            <w:gridSpan w:val="4"/>
            <w:tcBorders>
              <w:top w:val="single" w:sz="8" w:space="0" w:color="000000"/>
              <w:left w:val="single" w:sz="8" w:space="0" w:color="000000"/>
              <w:bottom w:val="nil"/>
              <w:right w:val="single" w:sz="8" w:space="0" w:color="000000"/>
            </w:tcBorders>
            <w:shd w:val="clear" w:color="auto" w:fill="E7E6E6"/>
            <w:tcMar>
              <w:top w:w="10" w:type="dxa"/>
              <w:left w:w="10" w:type="dxa"/>
              <w:bottom w:w="0" w:type="dxa"/>
              <w:right w:w="10" w:type="dxa"/>
            </w:tcMar>
            <w:vAlign w:val="center"/>
            <w:hideMark/>
          </w:tcPr>
          <w:p w14:paraId="649E0F3E" w14:textId="77777777" w:rsidR="003F1649" w:rsidRPr="00121EB8" w:rsidRDefault="003F1649" w:rsidP="00BB3E39">
            <w:pPr>
              <w:rPr>
                <w:rFonts w:ascii="Arial" w:hAnsi="Arial"/>
                <w:sz w:val="22"/>
                <w:szCs w:val="22"/>
              </w:rPr>
            </w:pPr>
            <w:r w:rsidRPr="00121EB8">
              <w:rPr>
                <w:rFonts w:ascii="Arial" w:hAnsi="Arial"/>
                <w:b/>
                <w:bCs/>
                <w:sz w:val="22"/>
                <w:szCs w:val="22"/>
              </w:rPr>
              <w:t>Dioxins</w:t>
            </w:r>
          </w:p>
        </w:tc>
      </w:tr>
      <w:tr w:rsidR="003F1649" w:rsidRPr="00121EB8" w14:paraId="41F6CD95"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1E5434D4" w14:textId="77777777" w:rsidR="003F1649" w:rsidRPr="00121EB8" w:rsidRDefault="003F1649" w:rsidP="00BB3E39">
            <w:pPr>
              <w:rPr>
                <w:rFonts w:ascii="Arial" w:hAnsi="Arial"/>
                <w:sz w:val="22"/>
                <w:szCs w:val="22"/>
              </w:rPr>
            </w:pPr>
            <w:r w:rsidRPr="00121EB8">
              <w:rPr>
                <w:rFonts w:ascii="Arial" w:hAnsi="Arial"/>
                <w:sz w:val="22"/>
                <w:szCs w:val="22"/>
              </w:rPr>
              <w:t xml:space="preserve">2,3,7,8-TCDD </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1F7B7572" w14:textId="77777777" w:rsidR="003F1649" w:rsidRPr="00121EB8" w:rsidRDefault="003F1649" w:rsidP="00BB3E39">
            <w:pPr>
              <w:rPr>
                <w:rFonts w:ascii="Arial" w:hAnsi="Arial"/>
                <w:sz w:val="22"/>
                <w:szCs w:val="22"/>
              </w:rPr>
            </w:pPr>
            <w:r w:rsidRPr="00121EB8">
              <w:rPr>
                <w:rFonts w:ascii="Arial" w:hAnsi="Arial"/>
                <w:sz w:val="22"/>
                <w:szCs w:val="22"/>
              </w:rPr>
              <w:t>1</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5E555461" w14:textId="77777777" w:rsidR="003F1649" w:rsidRPr="00121EB8" w:rsidRDefault="003F1649" w:rsidP="00BB3E39">
            <w:pPr>
              <w:rPr>
                <w:rFonts w:ascii="Arial" w:hAnsi="Arial"/>
                <w:sz w:val="22"/>
                <w:szCs w:val="22"/>
              </w:rPr>
            </w:pPr>
            <w:r w:rsidRPr="00121EB8">
              <w:rPr>
                <w:rFonts w:ascii="Arial" w:hAnsi="Arial"/>
                <w:sz w:val="22"/>
                <w:szCs w:val="22"/>
              </w:rPr>
              <w:t>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0A92EF66" w14:textId="77777777" w:rsidR="003F1649" w:rsidRPr="00121EB8" w:rsidRDefault="003F1649" w:rsidP="00BB3E39">
            <w:pPr>
              <w:rPr>
                <w:rFonts w:ascii="Arial" w:hAnsi="Arial"/>
                <w:sz w:val="22"/>
                <w:szCs w:val="22"/>
              </w:rPr>
            </w:pPr>
            <w:r w:rsidRPr="00121EB8">
              <w:rPr>
                <w:rFonts w:ascii="Arial" w:hAnsi="Arial"/>
                <w:sz w:val="22"/>
                <w:szCs w:val="22"/>
              </w:rPr>
              <w:t>1</w:t>
            </w:r>
          </w:p>
        </w:tc>
      </w:tr>
      <w:tr w:rsidR="003F1649" w:rsidRPr="00121EB8" w14:paraId="6B4F2A57"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3439A971" w14:textId="77777777" w:rsidR="003F1649" w:rsidRPr="00121EB8" w:rsidRDefault="003F1649" w:rsidP="00BB3E39">
            <w:pPr>
              <w:rPr>
                <w:rFonts w:ascii="Arial" w:hAnsi="Arial"/>
                <w:sz w:val="22"/>
                <w:szCs w:val="22"/>
              </w:rPr>
            </w:pPr>
            <w:r w:rsidRPr="00121EB8">
              <w:rPr>
                <w:rFonts w:ascii="Arial" w:hAnsi="Arial"/>
                <w:sz w:val="22"/>
                <w:szCs w:val="22"/>
              </w:rPr>
              <w:t xml:space="preserve">1,2,3,7,8-PeCDD </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23262580" w14:textId="77777777" w:rsidR="003F1649" w:rsidRPr="00121EB8" w:rsidRDefault="003F1649" w:rsidP="00BB3E39">
            <w:pPr>
              <w:rPr>
                <w:rFonts w:ascii="Arial" w:hAnsi="Arial"/>
                <w:sz w:val="22"/>
                <w:szCs w:val="22"/>
              </w:rPr>
            </w:pPr>
            <w:r w:rsidRPr="00121EB8">
              <w:rPr>
                <w:rFonts w:ascii="Arial" w:hAnsi="Arial"/>
                <w:sz w:val="22"/>
                <w:szCs w:val="22"/>
              </w:rPr>
              <w:t>1</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097963FD" w14:textId="77777777" w:rsidR="003F1649" w:rsidRPr="00121EB8" w:rsidRDefault="003F1649" w:rsidP="00BB3E39">
            <w:pPr>
              <w:rPr>
                <w:rFonts w:ascii="Arial" w:hAnsi="Arial"/>
                <w:sz w:val="22"/>
                <w:szCs w:val="22"/>
              </w:rPr>
            </w:pPr>
            <w:r w:rsidRPr="00121EB8">
              <w:rPr>
                <w:rFonts w:ascii="Arial" w:hAnsi="Arial"/>
                <w:sz w:val="22"/>
                <w:szCs w:val="22"/>
              </w:rPr>
              <w:t>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10FD9523" w14:textId="77777777" w:rsidR="003F1649" w:rsidRPr="00121EB8" w:rsidRDefault="003F1649" w:rsidP="00BB3E39">
            <w:pPr>
              <w:rPr>
                <w:rFonts w:ascii="Arial" w:hAnsi="Arial"/>
                <w:sz w:val="22"/>
                <w:szCs w:val="22"/>
              </w:rPr>
            </w:pPr>
            <w:r w:rsidRPr="00121EB8">
              <w:rPr>
                <w:rFonts w:ascii="Arial" w:hAnsi="Arial"/>
                <w:sz w:val="22"/>
                <w:szCs w:val="22"/>
              </w:rPr>
              <w:t>1</w:t>
            </w:r>
          </w:p>
        </w:tc>
      </w:tr>
      <w:tr w:rsidR="003F1649" w:rsidRPr="00121EB8" w14:paraId="2AB1C7AA"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57184883" w14:textId="77777777" w:rsidR="003F1649" w:rsidRPr="00121EB8" w:rsidRDefault="003F1649" w:rsidP="00BB3E39">
            <w:pPr>
              <w:rPr>
                <w:rFonts w:ascii="Arial" w:hAnsi="Arial"/>
                <w:sz w:val="22"/>
                <w:szCs w:val="22"/>
              </w:rPr>
            </w:pPr>
            <w:r w:rsidRPr="00121EB8">
              <w:rPr>
                <w:rFonts w:ascii="Arial" w:hAnsi="Arial"/>
                <w:sz w:val="22"/>
                <w:szCs w:val="22"/>
              </w:rPr>
              <w:t>1,2,3,4,7,8-HxCDD</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59A29BA3"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4E399215" w14:textId="77777777" w:rsidR="003F1649" w:rsidRPr="00121EB8" w:rsidRDefault="003F1649" w:rsidP="00BB3E39">
            <w:pPr>
              <w:rPr>
                <w:rFonts w:ascii="Arial" w:hAnsi="Arial"/>
                <w:sz w:val="22"/>
                <w:szCs w:val="22"/>
              </w:rPr>
            </w:pPr>
            <w:r w:rsidRPr="00121EB8">
              <w:rPr>
                <w:rFonts w:ascii="Arial" w:hAnsi="Arial"/>
                <w:sz w:val="22"/>
                <w:szCs w:val="22"/>
              </w:rPr>
              <w:t>0.05</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11A60F9D" w14:textId="77777777" w:rsidR="003F1649" w:rsidRPr="00121EB8" w:rsidRDefault="003F1649" w:rsidP="00BB3E39">
            <w:pPr>
              <w:rPr>
                <w:rFonts w:ascii="Arial" w:hAnsi="Arial"/>
                <w:sz w:val="22"/>
                <w:szCs w:val="22"/>
              </w:rPr>
            </w:pPr>
            <w:r w:rsidRPr="00121EB8">
              <w:rPr>
                <w:rFonts w:ascii="Arial" w:hAnsi="Arial"/>
                <w:sz w:val="22"/>
                <w:szCs w:val="22"/>
              </w:rPr>
              <w:t>0.5</w:t>
            </w:r>
          </w:p>
        </w:tc>
      </w:tr>
      <w:tr w:rsidR="003F1649" w:rsidRPr="00121EB8" w14:paraId="4670CDD8"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01457F22" w14:textId="77777777" w:rsidR="003F1649" w:rsidRPr="00121EB8" w:rsidRDefault="003F1649" w:rsidP="00BB3E39">
            <w:pPr>
              <w:rPr>
                <w:rFonts w:ascii="Arial" w:hAnsi="Arial"/>
                <w:sz w:val="22"/>
                <w:szCs w:val="22"/>
              </w:rPr>
            </w:pPr>
            <w:r w:rsidRPr="00121EB8">
              <w:rPr>
                <w:rFonts w:ascii="Arial" w:hAnsi="Arial"/>
                <w:sz w:val="22"/>
                <w:szCs w:val="22"/>
              </w:rPr>
              <w:t>1,2,3,6,7,8-HxCDD</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622ADB92"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21364DED" w14:textId="77777777" w:rsidR="003F1649" w:rsidRPr="00121EB8" w:rsidRDefault="003F1649" w:rsidP="00BB3E39">
            <w:pPr>
              <w:rPr>
                <w:rFonts w:ascii="Arial" w:hAnsi="Arial"/>
                <w:sz w:val="22"/>
                <w:szCs w:val="22"/>
              </w:rPr>
            </w:pPr>
            <w:r w:rsidRPr="00121EB8">
              <w:rPr>
                <w:rFonts w:ascii="Arial" w:hAnsi="Arial"/>
                <w:sz w:val="22"/>
                <w:szCs w:val="22"/>
              </w:rPr>
              <w:t>0.01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3B5852E4" w14:textId="77777777" w:rsidR="003F1649" w:rsidRPr="00121EB8" w:rsidRDefault="003F1649" w:rsidP="00BB3E39">
            <w:pPr>
              <w:rPr>
                <w:rFonts w:ascii="Arial" w:hAnsi="Arial"/>
                <w:sz w:val="22"/>
                <w:szCs w:val="22"/>
              </w:rPr>
            </w:pPr>
            <w:r w:rsidRPr="00121EB8">
              <w:rPr>
                <w:rFonts w:ascii="Arial" w:hAnsi="Arial"/>
                <w:sz w:val="22"/>
                <w:szCs w:val="22"/>
              </w:rPr>
              <w:t>0.01</w:t>
            </w:r>
          </w:p>
        </w:tc>
      </w:tr>
      <w:tr w:rsidR="003F1649" w:rsidRPr="00121EB8" w14:paraId="0EF2D121"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7095A936" w14:textId="77777777" w:rsidR="003F1649" w:rsidRPr="00121EB8" w:rsidRDefault="003F1649" w:rsidP="00BB3E39">
            <w:pPr>
              <w:rPr>
                <w:rFonts w:ascii="Arial" w:hAnsi="Arial"/>
                <w:sz w:val="22"/>
                <w:szCs w:val="22"/>
              </w:rPr>
            </w:pPr>
            <w:r w:rsidRPr="00121EB8">
              <w:rPr>
                <w:rFonts w:ascii="Arial" w:hAnsi="Arial"/>
                <w:sz w:val="22"/>
                <w:szCs w:val="22"/>
              </w:rPr>
              <w:t xml:space="preserve">1,2,3,7,8,9-HxCDD </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38898357"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0E806ADD"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6F9053FC" w14:textId="77777777" w:rsidR="003F1649" w:rsidRPr="00121EB8" w:rsidRDefault="003F1649" w:rsidP="00BB3E39">
            <w:pPr>
              <w:rPr>
                <w:rFonts w:ascii="Arial" w:hAnsi="Arial"/>
                <w:sz w:val="22"/>
                <w:szCs w:val="22"/>
              </w:rPr>
            </w:pPr>
            <w:r w:rsidRPr="00121EB8">
              <w:rPr>
                <w:rFonts w:ascii="Arial" w:hAnsi="Arial"/>
                <w:sz w:val="22"/>
                <w:szCs w:val="22"/>
              </w:rPr>
              <w:t>0.01</w:t>
            </w:r>
          </w:p>
        </w:tc>
      </w:tr>
      <w:tr w:rsidR="003F1649" w:rsidRPr="00121EB8" w14:paraId="352A9E11"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144D85BB" w14:textId="77777777" w:rsidR="003F1649" w:rsidRPr="00121EB8" w:rsidRDefault="003F1649" w:rsidP="00BB3E39">
            <w:pPr>
              <w:rPr>
                <w:rFonts w:ascii="Arial" w:hAnsi="Arial"/>
                <w:sz w:val="22"/>
                <w:szCs w:val="22"/>
              </w:rPr>
            </w:pPr>
            <w:r w:rsidRPr="00121EB8">
              <w:rPr>
                <w:rFonts w:ascii="Arial" w:hAnsi="Arial"/>
                <w:sz w:val="22"/>
                <w:szCs w:val="22"/>
              </w:rPr>
              <w:t>1,2,3,4,6,7,8-HpCDD</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7D1006E2" w14:textId="77777777" w:rsidR="003F1649" w:rsidRPr="00121EB8" w:rsidRDefault="003F1649" w:rsidP="00BB3E39">
            <w:pPr>
              <w:rPr>
                <w:rFonts w:ascii="Arial" w:hAnsi="Arial"/>
                <w:sz w:val="22"/>
                <w:szCs w:val="22"/>
              </w:rPr>
            </w:pPr>
            <w:r w:rsidRPr="00121EB8">
              <w:rPr>
                <w:rFonts w:ascii="Arial" w:hAnsi="Arial"/>
                <w:sz w:val="22"/>
                <w:szCs w:val="22"/>
              </w:rPr>
              <w:t>0.01</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6AE515E4" w14:textId="77777777" w:rsidR="003F1649" w:rsidRPr="00121EB8" w:rsidRDefault="003F1649" w:rsidP="00BB3E39">
            <w:pPr>
              <w:rPr>
                <w:rFonts w:ascii="Arial" w:hAnsi="Arial"/>
                <w:sz w:val="22"/>
                <w:szCs w:val="22"/>
              </w:rPr>
            </w:pPr>
            <w:r w:rsidRPr="00121EB8">
              <w:rPr>
                <w:rFonts w:ascii="Arial" w:hAnsi="Arial"/>
                <w:sz w:val="22"/>
                <w:szCs w:val="22"/>
              </w:rPr>
              <w:t>&lt;0.001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7185CD87" w14:textId="77777777" w:rsidR="003F1649" w:rsidRPr="00121EB8" w:rsidRDefault="003F1649" w:rsidP="00BB3E39">
            <w:pPr>
              <w:rPr>
                <w:rFonts w:ascii="Arial" w:hAnsi="Arial"/>
                <w:sz w:val="22"/>
                <w:szCs w:val="22"/>
              </w:rPr>
            </w:pPr>
            <w:r w:rsidRPr="00121EB8">
              <w:rPr>
                <w:rFonts w:ascii="Arial" w:hAnsi="Arial"/>
                <w:sz w:val="22"/>
                <w:szCs w:val="22"/>
              </w:rPr>
              <w:t>0.001</w:t>
            </w:r>
          </w:p>
        </w:tc>
      </w:tr>
      <w:tr w:rsidR="003F1649" w:rsidRPr="00121EB8" w14:paraId="44789264"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3EFECCEA" w14:textId="77777777" w:rsidR="003F1649" w:rsidRPr="00121EB8" w:rsidRDefault="003F1649" w:rsidP="00BB3E39">
            <w:pPr>
              <w:rPr>
                <w:rFonts w:ascii="Arial" w:hAnsi="Arial"/>
                <w:sz w:val="22"/>
                <w:szCs w:val="22"/>
              </w:rPr>
            </w:pPr>
            <w:r w:rsidRPr="00121EB8">
              <w:rPr>
                <w:rFonts w:ascii="Arial" w:hAnsi="Arial"/>
                <w:sz w:val="22"/>
                <w:szCs w:val="22"/>
              </w:rPr>
              <w:t xml:space="preserve">OCDD </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50080593" w14:textId="77777777" w:rsidR="003F1649" w:rsidRPr="00121EB8" w:rsidRDefault="003F1649" w:rsidP="00BB3E39">
            <w:pPr>
              <w:rPr>
                <w:rFonts w:ascii="Arial" w:hAnsi="Arial"/>
                <w:sz w:val="22"/>
                <w:szCs w:val="22"/>
              </w:rPr>
            </w:pPr>
            <w:r w:rsidRPr="00121EB8">
              <w:rPr>
                <w:rFonts w:ascii="Arial" w:hAnsi="Arial"/>
                <w:sz w:val="22"/>
                <w:szCs w:val="22"/>
              </w:rPr>
              <w:t>0.003</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5ECAA6B3" w14:textId="77777777" w:rsidR="003F1649" w:rsidRPr="00121EB8" w:rsidRDefault="003F1649" w:rsidP="00BB3E39">
            <w:pPr>
              <w:rPr>
                <w:rFonts w:ascii="Arial" w:hAnsi="Arial"/>
                <w:sz w:val="22"/>
                <w:szCs w:val="22"/>
              </w:rPr>
            </w:pPr>
            <w:r w:rsidRPr="00121EB8">
              <w:rPr>
                <w:rFonts w:ascii="Arial" w:hAnsi="Arial"/>
                <w:sz w:val="22"/>
                <w:szCs w:val="22"/>
              </w:rPr>
              <w:t>0.0001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1F6A1A1D" w14:textId="77777777" w:rsidR="003F1649" w:rsidRPr="00121EB8" w:rsidRDefault="003F1649" w:rsidP="00BB3E39">
            <w:pPr>
              <w:rPr>
                <w:rFonts w:ascii="Arial" w:hAnsi="Arial"/>
                <w:sz w:val="22"/>
                <w:szCs w:val="22"/>
              </w:rPr>
            </w:pPr>
            <w:r w:rsidRPr="00121EB8">
              <w:rPr>
                <w:rFonts w:ascii="Arial" w:hAnsi="Arial"/>
                <w:sz w:val="22"/>
                <w:szCs w:val="22"/>
              </w:rPr>
              <w:t>&lt;0.0001</w:t>
            </w:r>
          </w:p>
        </w:tc>
      </w:tr>
      <w:tr w:rsidR="003F1649" w:rsidRPr="00121EB8" w14:paraId="4B85367D" w14:textId="77777777" w:rsidTr="003F1649">
        <w:trPr>
          <w:trHeight w:val="305"/>
          <w:jc w:val="center"/>
        </w:trPr>
        <w:tc>
          <w:tcPr>
            <w:tcW w:w="7210" w:type="dxa"/>
            <w:gridSpan w:val="4"/>
            <w:tcBorders>
              <w:top w:val="nil"/>
              <w:left w:val="single" w:sz="8" w:space="0" w:color="000000"/>
              <w:bottom w:val="nil"/>
              <w:right w:val="single" w:sz="8" w:space="0" w:color="000000"/>
            </w:tcBorders>
            <w:shd w:val="clear" w:color="auto" w:fill="E7E6E6"/>
            <w:tcMar>
              <w:top w:w="10" w:type="dxa"/>
              <w:left w:w="10" w:type="dxa"/>
              <w:bottom w:w="0" w:type="dxa"/>
              <w:right w:w="10" w:type="dxa"/>
            </w:tcMar>
            <w:vAlign w:val="center"/>
            <w:hideMark/>
          </w:tcPr>
          <w:p w14:paraId="6094E795" w14:textId="77777777" w:rsidR="003F1649" w:rsidRPr="00121EB8" w:rsidRDefault="003F1649" w:rsidP="00BB3E39">
            <w:pPr>
              <w:rPr>
                <w:rFonts w:ascii="Arial" w:hAnsi="Arial"/>
                <w:sz w:val="22"/>
                <w:szCs w:val="22"/>
              </w:rPr>
            </w:pPr>
            <w:r w:rsidRPr="00121EB8">
              <w:rPr>
                <w:rFonts w:ascii="Arial" w:hAnsi="Arial"/>
                <w:b/>
                <w:bCs/>
                <w:sz w:val="22"/>
                <w:szCs w:val="22"/>
              </w:rPr>
              <w:t>Furans</w:t>
            </w:r>
          </w:p>
        </w:tc>
      </w:tr>
      <w:tr w:rsidR="003F1649" w:rsidRPr="00121EB8" w14:paraId="63DD2BBC"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508840CF" w14:textId="77777777" w:rsidR="003F1649" w:rsidRPr="00121EB8" w:rsidRDefault="003F1649" w:rsidP="00BB3E39">
            <w:pPr>
              <w:rPr>
                <w:rFonts w:ascii="Arial" w:hAnsi="Arial"/>
                <w:sz w:val="22"/>
                <w:szCs w:val="22"/>
              </w:rPr>
            </w:pPr>
            <w:r w:rsidRPr="00121EB8">
              <w:rPr>
                <w:rFonts w:ascii="Arial" w:hAnsi="Arial"/>
                <w:sz w:val="22"/>
                <w:szCs w:val="22"/>
              </w:rPr>
              <w:t>2,3,7,8-TCDF</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162B3884"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1323E856" w14:textId="77777777" w:rsidR="003F1649" w:rsidRPr="00121EB8" w:rsidRDefault="003F1649" w:rsidP="00BB3E39">
            <w:pPr>
              <w:rPr>
                <w:rFonts w:ascii="Arial" w:hAnsi="Arial"/>
                <w:sz w:val="22"/>
                <w:szCs w:val="22"/>
              </w:rPr>
            </w:pPr>
            <w:r w:rsidRPr="00121EB8">
              <w:rPr>
                <w:rFonts w:ascii="Arial" w:hAnsi="Arial"/>
                <w:sz w:val="22"/>
                <w:szCs w:val="22"/>
              </w:rPr>
              <w:t>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6394F08D" w14:textId="77777777" w:rsidR="003F1649" w:rsidRPr="00121EB8" w:rsidRDefault="003F1649" w:rsidP="00BB3E39">
            <w:pPr>
              <w:rPr>
                <w:rFonts w:ascii="Arial" w:hAnsi="Arial"/>
                <w:sz w:val="22"/>
                <w:szCs w:val="22"/>
              </w:rPr>
            </w:pPr>
            <w:r w:rsidRPr="00121EB8">
              <w:rPr>
                <w:rFonts w:ascii="Arial" w:hAnsi="Arial"/>
                <w:sz w:val="22"/>
                <w:szCs w:val="22"/>
              </w:rPr>
              <w:t>0.05</w:t>
            </w:r>
          </w:p>
        </w:tc>
      </w:tr>
      <w:tr w:rsidR="003F1649" w:rsidRPr="00121EB8" w14:paraId="1D34ECFA"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36E3B552" w14:textId="77777777" w:rsidR="003F1649" w:rsidRPr="00121EB8" w:rsidRDefault="003F1649" w:rsidP="00BB3E39">
            <w:pPr>
              <w:rPr>
                <w:rFonts w:ascii="Arial" w:hAnsi="Arial"/>
                <w:sz w:val="22"/>
                <w:szCs w:val="22"/>
              </w:rPr>
            </w:pPr>
            <w:r w:rsidRPr="00121EB8">
              <w:rPr>
                <w:rFonts w:ascii="Arial" w:hAnsi="Arial"/>
                <w:sz w:val="22"/>
                <w:szCs w:val="22"/>
              </w:rPr>
              <w:t>1,2,3,7,8-PeCDF</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58AFE573" w14:textId="77777777" w:rsidR="003F1649" w:rsidRPr="00121EB8" w:rsidRDefault="003F1649" w:rsidP="00BB3E39">
            <w:pPr>
              <w:rPr>
                <w:rFonts w:ascii="Arial" w:hAnsi="Arial"/>
                <w:sz w:val="22"/>
                <w:szCs w:val="22"/>
              </w:rPr>
            </w:pPr>
            <w:r w:rsidRPr="00121EB8">
              <w:rPr>
                <w:rFonts w:ascii="Arial" w:hAnsi="Arial"/>
                <w:sz w:val="22"/>
                <w:szCs w:val="22"/>
              </w:rPr>
              <w:t>0.03</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6F0264BC"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49DF7915" w14:textId="77777777" w:rsidR="003F1649" w:rsidRPr="00121EB8" w:rsidRDefault="003F1649" w:rsidP="00BB3E39">
            <w:pPr>
              <w:rPr>
                <w:rFonts w:ascii="Arial" w:hAnsi="Arial"/>
                <w:sz w:val="22"/>
                <w:szCs w:val="22"/>
              </w:rPr>
            </w:pPr>
            <w:r w:rsidRPr="00121EB8">
              <w:rPr>
                <w:rFonts w:ascii="Arial" w:hAnsi="Arial"/>
                <w:sz w:val="22"/>
                <w:szCs w:val="22"/>
              </w:rPr>
              <w:t>0.05</w:t>
            </w:r>
          </w:p>
        </w:tc>
      </w:tr>
      <w:tr w:rsidR="003F1649" w:rsidRPr="00121EB8" w14:paraId="24884575"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1273FE34" w14:textId="77777777" w:rsidR="003F1649" w:rsidRPr="00121EB8" w:rsidRDefault="003F1649" w:rsidP="00BB3E39">
            <w:pPr>
              <w:rPr>
                <w:rFonts w:ascii="Arial" w:hAnsi="Arial"/>
                <w:sz w:val="22"/>
                <w:szCs w:val="22"/>
              </w:rPr>
            </w:pPr>
            <w:r w:rsidRPr="00121EB8">
              <w:rPr>
                <w:rFonts w:ascii="Arial" w:hAnsi="Arial"/>
                <w:sz w:val="22"/>
                <w:szCs w:val="22"/>
              </w:rPr>
              <w:t xml:space="preserve">2,3,4,7,8-PeCDF </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06EBBA08" w14:textId="77777777" w:rsidR="003F1649" w:rsidRPr="00121EB8" w:rsidRDefault="003F1649" w:rsidP="00BB3E39">
            <w:pPr>
              <w:rPr>
                <w:rFonts w:ascii="Arial" w:hAnsi="Arial"/>
                <w:sz w:val="22"/>
                <w:szCs w:val="22"/>
              </w:rPr>
            </w:pPr>
            <w:r w:rsidRPr="00121EB8">
              <w:rPr>
                <w:rFonts w:ascii="Arial" w:hAnsi="Arial"/>
                <w:sz w:val="22"/>
                <w:szCs w:val="22"/>
              </w:rPr>
              <w:t>0.3</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1C4C6DAB" w14:textId="77777777" w:rsidR="003F1649" w:rsidRPr="00121EB8" w:rsidRDefault="003F1649" w:rsidP="00BB3E39">
            <w:pPr>
              <w:rPr>
                <w:rFonts w:ascii="Arial" w:hAnsi="Arial"/>
                <w:sz w:val="22"/>
                <w:szCs w:val="22"/>
              </w:rPr>
            </w:pPr>
            <w:r w:rsidRPr="00121EB8">
              <w:rPr>
                <w:rFonts w:ascii="Arial" w:hAnsi="Arial"/>
                <w:sz w:val="22"/>
                <w:szCs w:val="22"/>
              </w:rPr>
              <w:t>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3B180BC5" w14:textId="77777777" w:rsidR="003F1649" w:rsidRPr="00121EB8" w:rsidRDefault="003F1649" w:rsidP="00BB3E39">
            <w:pPr>
              <w:rPr>
                <w:rFonts w:ascii="Arial" w:hAnsi="Arial"/>
                <w:sz w:val="22"/>
                <w:szCs w:val="22"/>
              </w:rPr>
            </w:pPr>
            <w:r w:rsidRPr="00121EB8">
              <w:rPr>
                <w:rFonts w:ascii="Arial" w:hAnsi="Arial"/>
                <w:sz w:val="22"/>
                <w:szCs w:val="22"/>
              </w:rPr>
              <w:t>0.5</w:t>
            </w:r>
          </w:p>
        </w:tc>
      </w:tr>
      <w:tr w:rsidR="003F1649" w:rsidRPr="00121EB8" w14:paraId="3A9AB397"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1ADD5885" w14:textId="77777777" w:rsidR="003F1649" w:rsidRPr="00121EB8" w:rsidRDefault="003F1649" w:rsidP="00BB3E39">
            <w:pPr>
              <w:rPr>
                <w:rFonts w:ascii="Arial" w:hAnsi="Arial"/>
                <w:sz w:val="22"/>
                <w:szCs w:val="22"/>
              </w:rPr>
            </w:pPr>
            <w:r w:rsidRPr="00121EB8">
              <w:rPr>
                <w:rFonts w:ascii="Arial" w:hAnsi="Arial"/>
                <w:sz w:val="22"/>
                <w:szCs w:val="22"/>
              </w:rPr>
              <w:t xml:space="preserve">1,2,3,4,7,8-HxCDF </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3899B6F1"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7C0C001B"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736D13BA" w14:textId="77777777" w:rsidR="003F1649" w:rsidRPr="00121EB8" w:rsidRDefault="003F1649" w:rsidP="00BB3E39">
            <w:pPr>
              <w:rPr>
                <w:rFonts w:ascii="Arial" w:hAnsi="Arial"/>
                <w:sz w:val="22"/>
                <w:szCs w:val="22"/>
              </w:rPr>
            </w:pPr>
            <w:r w:rsidRPr="00121EB8">
              <w:rPr>
                <w:rFonts w:ascii="Arial" w:hAnsi="Arial"/>
                <w:sz w:val="22"/>
                <w:szCs w:val="22"/>
              </w:rPr>
              <w:t>0.1</w:t>
            </w:r>
          </w:p>
        </w:tc>
      </w:tr>
      <w:tr w:rsidR="003F1649" w:rsidRPr="00121EB8" w14:paraId="499151A1"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5BE88CC8" w14:textId="77777777" w:rsidR="003F1649" w:rsidRPr="00121EB8" w:rsidRDefault="003F1649" w:rsidP="00BB3E39">
            <w:pPr>
              <w:rPr>
                <w:rFonts w:ascii="Arial" w:hAnsi="Arial"/>
                <w:sz w:val="22"/>
                <w:szCs w:val="22"/>
              </w:rPr>
            </w:pPr>
            <w:r w:rsidRPr="00121EB8">
              <w:rPr>
                <w:rFonts w:ascii="Arial" w:hAnsi="Arial"/>
                <w:sz w:val="22"/>
                <w:szCs w:val="22"/>
              </w:rPr>
              <w:t xml:space="preserve">1,2,3,6,7,8-HxCDF </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036DC833"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25A60374"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6CDF3215" w14:textId="77777777" w:rsidR="003F1649" w:rsidRPr="00121EB8" w:rsidRDefault="003F1649" w:rsidP="00BB3E39">
            <w:pPr>
              <w:rPr>
                <w:rFonts w:ascii="Arial" w:hAnsi="Arial"/>
                <w:sz w:val="22"/>
                <w:szCs w:val="22"/>
              </w:rPr>
            </w:pPr>
            <w:r w:rsidRPr="00121EB8">
              <w:rPr>
                <w:rFonts w:ascii="Arial" w:hAnsi="Arial"/>
                <w:sz w:val="22"/>
                <w:szCs w:val="22"/>
              </w:rPr>
              <w:t>0.1</w:t>
            </w:r>
          </w:p>
        </w:tc>
      </w:tr>
      <w:tr w:rsidR="003F1649" w:rsidRPr="00121EB8" w14:paraId="57834630"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66F56D05" w14:textId="77777777" w:rsidR="003F1649" w:rsidRPr="00121EB8" w:rsidRDefault="003F1649" w:rsidP="00BB3E39">
            <w:pPr>
              <w:rPr>
                <w:rFonts w:ascii="Arial" w:hAnsi="Arial"/>
                <w:sz w:val="22"/>
                <w:szCs w:val="22"/>
              </w:rPr>
            </w:pPr>
            <w:r w:rsidRPr="00121EB8">
              <w:rPr>
                <w:rFonts w:ascii="Arial" w:hAnsi="Arial"/>
                <w:sz w:val="22"/>
                <w:szCs w:val="22"/>
              </w:rPr>
              <w:t xml:space="preserve">1,2,3,7,8,9-HxCDF </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7064495B"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525F2184"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2695AFBA" w14:textId="77777777" w:rsidR="003F1649" w:rsidRPr="00121EB8" w:rsidRDefault="003F1649" w:rsidP="00BB3E39">
            <w:pPr>
              <w:rPr>
                <w:rFonts w:ascii="Arial" w:hAnsi="Arial"/>
                <w:sz w:val="22"/>
                <w:szCs w:val="22"/>
              </w:rPr>
            </w:pPr>
            <w:r w:rsidRPr="00121EB8">
              <w:rPr>
                <w:rFonts w:ascii="Arial" w:hAnsi="Arial"/>
                <w:sz w:val="22"/>
                <w:szCs w:val="22"/>
              </w:rPr>
              <w:t>0.1</w:t>
            </w:r>
          </w:p>
        </w:tc>
      </w:tr>
      <w:tr w:rsidR="003F1649" w:rsidRPr="00121EB8" w14:paraId="6D3D1CFA"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6228948C" w14:textId="77777777" w:rsidR="003F1649" w:rsidRPr="00121EB8" w:rsidRDefault="003F1649" w:rsidP="00BB3E39">
            <w:pPr>
              <w:rPr>
                <w:rFonts w:ascii="Arial" w:hAnsi="Arial"/>
                <w:sz w:val="22"/>
                <w:szCs w:val="22"/>
              </w:rPr>
            </w:pPr>
            <w:r w:rsidRPr="00121EB8">
              <w:rPr>
                <w:rFonts w:ascii="Arial" w:hAnsi="Arial"/>
                <w:sz w:val="22"/>
                <w:szCs w:val="22"/>
              </w:rPr>
              <w:t xml:space="preserve">2,3,4,6,7,8-HxCDF </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49D7BB64"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743CC0D2"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59BE1BCB" w14:textId="77777777" w:rsidR="003F1649" w:rsidRPr="00121EB8" w:rsidRDefault="003F1649" w:rsidP="00BB3E39">
            <w:pPr>
              <w:rPr>
                <w:rFonts w:ascii="Arial" w:hAnsi="Arial"/>
                <w:sz w:val="22"/>
                <w:szCs w:val="22"/>
              </w:rPr>
            </w:pPr>
            <w:r w:rsidRPr="00121EB8">
              <w:rPr>
                <w:rFonts w:ascii="Arial" w:hAnsi="Arial"/>
                <w:sz w:val="22"/>
                <w:szCs w:val="22"/>
              </w:rPr>
              <w:t>0.1</w:t>
            </w:r>
          </w:p>
        </w:tc>
      </w:tr>
      <w:tr w:rsidR="003F1649" w:rsidRPr="00121EB8" w14:paraId="215011CD"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5C8D81AE" w14:textId="77777777" w:rsidR="003F1649" w:rsidRPr="00121EB8" w:rsidRDefault="003F1649" w:rsidP="00BB3E39">
            <w:pPr>
              <w:rPr>
                <w:rFonts w:ascii="Arial" w:hAnsi="Arial"/>
                <w:sz w:val="22"/>
                <w:szCs w:val="22"/>
              </w:rPr>
            </w:pPr>
            <w:r w:rsidRPr="00121EB8">
              <w:rPr>
                <w:rFonts w:ascii="Arial" w:hAnsi="Arial"/>
                <w:sz w:val="22"/>
                <w:szCs w:val="22"/>
              </w:rPr>
              <w:t xml:space="preserve">1,2,3,4,6,7,8-HpCDF </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3BB4C88D" w14:textId="77777777" w:rsidR="003F1649" w:rsidRPr="00121EB8" w:rsidRDefault="003F1649" w:rsidP="00BB3E39">
            <w:pPr>
              <w:rPr>
                <w:rFonts w:ascii="Arial" w:hAnsi="Arial"/>
                <w:sz w:val="22"/>
                <w:szCs w:val="22"/>
              </w:rPr>
            </w:pPr>
            <w:r w:rsidRPr="00121EB8">
              <w:rPr>
                <w:rFonts w:ascii="Arial" w:hAnsi="Arial"/>
                <w:sz w:val="22"/>
                <w:szCs w:val="22"/>
              </w:rPr>
              <w:t>0.01</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217EA8FC" w14:textId="77777777" w:rsidR="003F1649" w:rsidRPr="00121EB8" w:rsidRDefault="003F1649" w:rsidP="00BB3E39">
            <w:pPr>
              <w:rPr>
                <w:rFonts w:ascii="Arial" w:hAnsi="Arial"/>
                <w:sz w:val="22"/>
                <w:szCs w:val="22"/>
              </w:rPr>
            </w:pPr>
            <w:r w:rsidRPr="00121EB8">
              <w:rPr>
                <w:rFonts w:ascii="Arial" w:hAnsi="Arial"/>
                <w:sz w:val="22"/>
                <w:szCs w:val="22"/>
              </w:rPr>
              <w:t>0.01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13258445" w14:textId="77777777" w:rsidR="003F1649" w:rsidRPr="00121EB8" w:rsidRDefault="003F1649" w:rsidP="00BB3E39">
            <w:pPr>
              <w:rPr>
                <w:rFonts w:ascii="Arial" w:hAnsi="Arial"/>
                <w:sz w:val="22"/>
                <w:szCs w:val="22"/>
              </w:rPr>
            </w:pPr>
            <w:r w:rsidRPr="00121EB8">
              <w:rPr>
                <w:rFonts w:ascii="Arial" w:hAnsi="Arial"/>
                <w:sz w:val="22"/>
                <w:szCs w:val="22"/>
              </w:rPr>
              <w:t>0.01</w:t>
            </w:r>
          </w:p>
        </w:tc>
      </w:tr>
      <w:tr w:rsidR="003F1649" w:rsidRPr="00121EB8" w14:paraId="6F7BDAA4"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17C7AAEF" w14:textId="77777777" w:rsidR="003F1649" w:rsidRPr="00121EB8" w:rsidRDefault="003F1649" w:rsidP="00BB3E39">
            <w:pPr>
              <w:rPr>
                <w:rFonts w:ascii="Arial" w:hAnsi="Arial"/>
                <w:sz w:val="22"/>
                <w:szCs w:val="22"/>
              </w:rPr>
            </w:pPr>
            <w:r w:rsidRPr="00121EB8">
              <w:rPr>
                <w:rFonts w:ascii="Arial" w:hAnsi="Arial"/>
                <w:sz w:val="22"/>
                <w:szCs w:val="22"/>
              </w:rPr>
              <w:t xml:space="preserve">1,2,3,4,7,8,9-HpCDF </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61F554E9" w14:textId="77777777" w:rsidR="003F1649" w:rsidRPr="00121EB8" w:rsidRDefault="003F1649" w:rsidP="00BB3E39">
            <w:pPr>
              <w:rPr>
                <w:rFonts w:ascii="Arial" w:hAnsi="Arial"/>
                <w:sz w:val="22"/>
                <w:szCs w:val="22"/>
              </w:rPr>
            </w:pPr>
            <w:r w:rsidRPr="00121EB8">
              <w:rPr>
                <w:rFonts w:ascii="Arial" w:hAnsi="Arial"/>
                <w:sz w:val="22"/>
                <w:szCs w:val="22"/>
              </w:rPr>
              <w:t>0.01</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1BC7506E" w14:textId="77777777" w:rsidR="003F1649" w:rsidRPr="00121EB8" w:rsidRDefault="003F1649" w:rsidP="00BB3E39">
            <w:pPr>
              <w:rPr>
                <w:rFonts w:ascii="Arial" w:hAnsi="Arial"/>
                <w:sz w:val="22"/>
                <w:szCs w:val="22"/>
              </w:rPr>
            </w:pPr>
            <w:r w:rsidRPr="00121EB8">
              <w:rPr>
                <w:rFonts w:ascii="Arial" w:hAnsi="Arial"/>
                <w:sz w:val="22"/>
                <w:szCs w:val="22"/>
              </w:rPr>
              <w:t>0.01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48654103" w14:textId="77777777" w:rsidR="003F1649" w:rsidRPr="00121EB8" w:rsidRDefault="003F1649" w:rsidP="00BB3E39">
            <w:pPr>
              <w:rPr>
                <w:rFonts w:ascii="Arial" w:hAnsi="Arial"/>
                <w:sz w:val="22"/>
                <w:szCs w:val="22"/>
              </w:rPr>
            </w:pPr>
            <w:r w:rsidRPr="00121EB8">
              <w:rPr>
                <w:rFonts w:ascii="Arial" w:hAnsi="Arial"/>
                <w:sz w:val="22"/>
                <w:szCs w:val="22"/>
              </w:rPr>
              <w:t>0.01</w:t>
            </w:r>
          </w:p>
        </w:tc>
      </w:tr>
      <w:tr w:rsidR="003F1649" w:rsidRPr="00121EB8" w14:paraId="440407B9"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7D7FBB83" w14:textId="77777777" w:rsidR="003F1649" w:rsidRPr="00121EB8" w:rsidRDefault="003F1649" w:rsidP="00BB3E39">
            <w:pPr>
              <w:rPr>
                <w:rFonts w:ascii="Arial" w:hAnsi="Arial"/>
                <w:sz w:val="22"/>
                <w:szCs w:val="22"/>
              </w:rPr>
            </w:pPr>
            <w:r w:rsidRPr="00121EB8">
              <w:rPr>
                <w:rFonts w:ascii="Arial" w:hAnsi="Arial"/>
                <w:sz w:val="22"/>
                <w:szCs w:val="22"/>
              </w:rPr>
              <w:t xml:space="preserve">OCDF </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28498D33" w14:textId="77777777" w:rsidR="003F1649" w:rsidRPr="00121EB8" w:rsidRDefault="003F1649" w:rsidP="00BB3E39">
            <w:pPr>
              <w:rPr>
                <w:rFonts w:ascii="Arial" w:hAnsi="Arial"/>
                <w:sz w:val="22"/>
                <w:szCs w:val="22"/>
              </w:rPr>
            </w:pPr>
            <w:r w:rsidRPr="00121EB8">
              <w:rPr>
                <w:rFonts w:ascii="Arial" w:hAnsi="Arial"/>
                <w:sz w:val="22"/>
                <w:szCs w:val="22"/>
              </w:rPr>
              <w:t>0.0003</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28BA93B4" w14:textId="77777777" w:rsidR="003F1649" w:rsidRPr="00121EB8" w:rsidRDefault="003F1649" w:rsidP="00BB3E39">
            <w:pPr>
              <w:rPr>
                <w:rFonts w:ascii="Arial" w:hAnsi="Arial"/>
                <w:sz w:val="22"/>
                <w:szCs w:val="22"/>
              </w:rPr>
            </w:pPr>
            <w:r w:rsidRPr="00121EB8">
              <w:rPr>
                <w:rFonts w:ascii="Arial" w:hAnsi="Arial"/>
                <w:sz w:val="22"/>
                <w:szCs w:val="22"/>
              </w:rPr>
              <w:t>0.0001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18C12062" w14:textId="77777777" w:rsidR="003F1649" w:rsidRPr="00121EB8" w:rsidRDefault="003F1649" w:rsidP="00BB3E39">
            <w:pPr>
              <w:rPr>
                <w:rFonts w:ascii="Arial" w:hAnsi="Arial"/>
                <w:sz w:val="22"/>
                <w:szCs w:val="22"/>
              </w:rPr>
            </w:pPr>
            <w:r w:rsidRPr="00121EB8">
              <w:rPr>
                <w:rFonts w:ascii="Arial" w:hAnsi="Arial"/>
                <w:sz w:val="22"/>
                <w:szCs w:val="22"/>
              </w:rPr>
              <w:t>&lt;0.0001</w:t>
            </w:r>
          </w:p>
        </w:tc>
      </w:tr>
      <w:tr w:rsidR="003F1649" w:rsidRPr="00121EB8" w14:paraId="183A60CD" w14:textId="77777777" w:rsidTr="003F1649">
        <w:trPr>
          <w:trHeight w:val="341"/>
          <w:jc w:val="center"/>
        </w:trPr>
        <w:tc>
          <w:tcPr>
            <w:tcW w:w="7210" w:type="dxa"/>
            <w:gridSpan w:val="4"/>
            <w:tcBorders>
              <w:top w:val="nil"/>
              <w:left w:val="single" w:sz="8" w:space="0" w:color="000000"/>
              <w:bottom w:val="nil"/>
              <w:right w:val="single" w:sz="8" w:space="0" w:color="000000"/>
            </w:tcBorders>
            <w:shd w:val="clear" w:color="auto" w:fill="E7E6E6"/>
            <w:tcMar>
              <w:top w:w="10" w:type="dxa"/>
              <w:left w:w="10" w:type="dxa"/>
              <w:bottom w:w="0" w:type="dxa"/>
              <w:right w:w="10" w:type="dxa"/>
            </w:tcMar>
            <w:vAlign w:val="center"/>
            <w:hideMark/>
          </w:tcPr>
          <w:p w14:paraId="69A91FEB" w14:textId="77777777" w:rsidR="003F1649" w:rsidRPr="00121EB8" w:rsidRDefault="003F1649" w:rsidP="00BB3E39">
            <w:pPr>
              <w:rPr>
                <w:rFonts w:ascii="Arial" w:hAnsi="Arial"/>
                <w:sz w:val="22"/>
                <w:szCs w:val="22"/>
              </w:rPr>
            </w:pPr>
            <w:r w:rsidRPr="00121EB8">
              <w:rPr>
                <w:rFonts w:ascii="Arial" w:hAnsi="Arial"/>
                <w:b/>
                <w:bCs/>
                <w:sz w:val="22"/>
                <w:szCs w:val="22"/>
              </w:rPr>
              <w:t>Non-</w:t>
            </w:r>
            <w:r w:rsidRPr="00121EB8">
              <w:rPr>
                <w:rFonts w:ascii="Arial" w:hAnsi="Arial"/>
                <w:b/>
                <w:bCs/>
                <w:i/>
                <w:iCs/>
                <w:sz w:val="22"/>
                <w:szCs w:val="22"/>
              </w:rPr>
              <w:t>ortho</w:t>
            </w:r>
            <w:r w:rsidRPr="00121EB8">
              <w:rPr>
                <w:rFonts w:ascii="Arial" w:hAnsi="Arial"/>
                <w:b/>
                <w:bCs/>
                <w:sz w:val="22"/>
                <w:szCs w:val="22"/>
              </w:rPr>
              <w:t xml:space="preserve"> PCBs</w:t>
            </w:r>
          </w:p>
        </w:tc>
      </w:tr>
      <w:tr w:rsidR="003F1649" w:rsidRPr="00121EB8" w14:paraId="17037B5B"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12A05791" w14:textId="77777777" w:rsidR="003F1649" w:rsidRPr="00121EB8" w:rsidRDefault="003F1649" w:rsidP="00BB3E39">
            <w:pPr>
              <w:rPr>
                <w:rFonts w:ascii="Arial" w:hAnsi="Arial"/>
                <w:sz w:val="22"/>
                <w:szCs w:val="22"/>
              </w:rPr>
            </w:pPr>
            <w:r w:rsidRPr="00121EB8">
              <w:rPr>
                <w:rFonts w:ascii="Arial" w:hAnsi="Arial"/>
                <w:sz w:val="22"/>
                <w:szCs w:val="22"/>
              </w:rPr>
              <w:t>3,3',4,4'-TCB (77)</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2C4C06E8" w14:textId="77777777" w:rsidR="003F1649" w:rsidRPr="00121EB8" w:rsidRDefault="003F1649" w:rsidP="00BB3E39">
            <w:pPr>
              <w:rPr>
                <w:rFonts w:ascii="Arial" w:hAnsi="Arial"/>
                <w:sz w:val="22"/>
                <w:szCs w:val="22"/>
              </w:rPr>
            </w:pPr>
            <w:r w:rsidRPr="00121EB8">
              <w:rPr>
                <w:rFonts w:ascii="Arial" w:hAnsi="Arial"/>
                <w:sz w:val="22"/>
                <w:szCs w:val="22"/>
              </w:rPr>
              <w:t>0.0001</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7BB1B2B7" w14:textId="77777777" w:rsidR="003F1649" w:rsidRPr="00121EB8" w:rsidRDefault="003F1649" w:rsidP="00BB3E39">
            <w:pPr>
              <w:rPr>
                <w:rFonts w:ascii="Arial" w:hAnsi="Arial"/>
                <w:sz w:val="22"/>
                <w:szCs w:val="22"/>
              </w:rPr>
            </w:pPr>
            <w:r w:rsidRPr="00121EB8">
              <w:rPr>
                <w:rFonts w:ascii="Arial" w:hAnsi="Arial"/>
                <w:sz w:val="22"/>
                <w:szCs w:val="22"/>
              </w:rPr>
              <w:t>0.05</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6B221EC6" w14:textId="77777777" w:rsidR="003F1649" w:rsidRPr="00121EB8" w:rsidRDefault="003F1649" w:rsidP="00BB3E39">
            <w:pPr>
              <w:rPr>
                <w:rFonts w:ascii="Arial" w:hAnsi="Arial"/>
                <w:sz w:val="22"/>
                <w:szCs w:val="22"/>
              </w:rPr>
            </w:pPr>
            <w:r w:rsidRPr="00121EB8">
              <w:rPr>
                <w:rFonts w:ascii="Arial" w:hAnsi="Arial"/>
                <w:sz w:val="22"/>
                <w:szCs w:val="22"/>
              </w:rPr>
              <w:t>0.0001</w:t>
            </w:r>
          </w:p>
        </w:tc>
      </w:tr>
      <w:tr w:rsidR="003F1649" w:rsidRPr="00121EB8" w14:paraId="29D56E13"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7BA01B69" w14:textId="77777777" w:rsidR="003F1649" w:rsidRPr="00121EB8" w:rsidRDefault="003F1649" w:rsidP="00BB3E39">
            <w:pPr>
              <w:rPr>
                <w:rFonts w:ascii="Arial" w:hAnsi="Arial"/>
                <w:sz w:val="22"/>
                <w:szCs w:val="22"/>
              </w:rPr>
            </w:pPr>
            <w:r w:rsidRPr="00121EB8">
              <w:rPr>
                <w:rFonts w:ascii="Arial" w:hAnsi="Arial"/>
                <w:sz w:val="22"/>
                <w:szCs w:val="22"/>
              </w:rPr>
              <w:t>3,4,4',5-TCB (81)</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484884AE" w14:textId="77777777" w:rsidR="003F1649" w:rsidRPr="00121EB8" w:rsidRDefault="003F1649" w:rsidP="00BB3E39">
            <w:pPr>
              <w:rPr>
                <w:rFonts w:ascii="Arial" w:hAnsi="Arial"/>
                <w:sz w:val="22"/>
                <w:szCs w:val="22"/>
              </w:rPr>
            </w:pPr>
            <w:r w:rsidRPr="00121EB8">
              <w:rPr>
                <w:rFonts w:ascii="Arial" w:hAnsi="Arial"/>
                <w:sz w:val="22"/>
                <w:szCs w:val="22"/>
              </w:rPr>
              <w:t>0.0003</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2116D2AA"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039C9A3B" w14:textId="77777777" w:rsidR="003F1649" w:rsidRPr="00121EB8" w:rsidRDefault="003F1649" w:rsidP="00BB3E39">
            <w:pPr>
              <w:rPr>
                <w:rFonts w:ascii="Arial" w:hAnsi="Arial"/>
                <w:sz w:val="22"/>
                <w:szCs w:val="22"/>
              </w:rPr>
            </w:pPr>
            <w:r w:rsidRPr="00121EB8">
              <w:rPr>
                <w:rFonts w:ascii="Arial" w:hAnsi="Arial"/>
                <w:sz w:val="22"/>
                <w:szCs w:val="22"/>
              </w:rPr>
              <w:t>0.0005</w:t>
            </w:r>
          </w:p>
        </w:tc>
      </w:tr>
      <w:tr w:rsidR="003F1649" w:rsidRPr="00121EB8" w14:paraId="5E485F20"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7BECA1EB" w14:textId="77777777" w:rsidR="003F1649" w:rsidRPr="00121EB8" w:rsidRDefault="003F1649" w:rsidP="00BB3E39">
            <w:pPr>
              <w:rPr>
                <w:rFonts w:ascii="Arial" w:hAnsi="Arial"/>
                <w:sz w:val="22"/>
                <w:szCs w:val="22"/>
              </w:rPr>
            </w:pPr>
            <w:r w:rsidRPr="00121EB8">
              <w:rPr>
                <w:rFonts w:ascii="Arial" w:hAnsi="Arial"/>
                <w:sz w:val="22"/>
                <w:szCs w:val="22"/>
              </w:rPr>
              <w:t>3,3',4,4',5-PeCB (126)</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400CBE77"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43F3AC14" w14:textId="77777777" w:rsidR="003F1649" w:rsidRPr="00121EB8" w:rsidRDefault="003F1649" w:rsidP="00BB3E39">
            <w:pPr>
              <w:rPr>
                <w:rFonts w:ascii="Arial" w:hAnsi="Arial"/>
                <w:sz w:val="22"/>
                <w:szCs w:val="22"/>
              </w:rPr>
            </w:pPr>
            <w:r w:rsidRPr="00121EB8">
              <w:rPr>
                <w:rFonts w:ascii="Arial" w:hAnsi="Arial"/>
                <w:sz w:val="22"/>
                <w:szCs w:val="22"/>
              </w:rPr>
              <w:t>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761D54BA" w14:textId="77777777" w:rsidR="003F1649" w:rsidRPr="00121EB8" w:rsidRDefault="003F1649" w:rsidP="00BB3E39">
            <w:pPr>
              <w:rPr>
                <w:rFonts w:ascii="Arial" w:hAnsi="Arial"/>
                <w:sz w:val="22"/>
                <w:szCs w:val="22"/>
              </w:rPr>
            </w:pPr>
            <w:r w:rsidRPr="00121EB8">
              <w:rPr>
                <w:rFonts w:ascii="Arial" w:hAnsi="Arial"/>
                <w:sz w:val="22"/>
                <w:szCs w:val="22"/>
              </w:rPr>
              <w:t>0.005</w:t>
            </w:r>
          </w:p>
        </w:tc>
      </w:tr>
      <w:tr w:rsidR="003F1649" w:rsidRPr="00121EB8" w14:paraId="64165E7A"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19763CB3" w14:textId="77777777" w:rsidR="003F1649" w:rsidRPr="00121EB8" w:rsidRDefault="003F1649" w:rsidP="00BB3E39">
            <w:pPr>
              <w:rPr>
                <w:rFonts w:ascii="Arial" w:hAnsi="Arial"/>
                <w:sz w:val="22"/>
                <w:szCs w:val="22"/>
              </w:rPr>
            </w:pPr>
            <w:r w:rsidRPr="00121EB8">
              <w:rPr>
                <w:rFonts w:ascii="Arial" w:hAnsi="Arial"/>
                <w:sz w:val="22"/>
                <w:szCs w:val="22"/>
              </w:rPr>
              <w:t>3,3',4,4',5,5'-HxCB (169)</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68034BFB" w14:textId="77777777" w:rsidR="003F1649" w:rsidRPr="00121EB8" w:rsidRDefault="003F1649" w:rsidP="00BB3E39">
            <w:pPr>
              <w:rPr>
                <w:rFonts w:ascii="Arial" w:hAnsi="Arial"/>
                <w:sz w:val="22"/>
                <w:szCs w:val="22"/>
              </w:rPr>
            </w:pPr>
            <w:r w:rsidRPr="00121EB8">
              <w:rPr>
                <w:rFonts w:ascii="Arial" w:hAnsi="Arial"/>
                <w:sz w:val="22"/>
                <w:szCs w:val="22"/>
              </w:rPr>
              <w:t>0.03</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6186DBC9" w14:textId="77777777" w:rsidR="003F1649" w:rsidRPr="00121EB8" w:rsidRDefault="003F1649" w:rsidP="00BB3E39">
            <w:pPr>
              <w:rPr>
                <w:rFonts w:ascii="Arial" w:hAnsi="Arial"/>
                <w:sz w:val="22"/>
                <w:szCs w:val="22"/>
              </w:rPr>
            </w:pPr>
            <w:r w:rsidRPr="00121EB8">
              <w:rPr>
                <w:rFonts w:ascii="Arial" w:hAnsi="Arial"/>
                <w:sz w:val="22"/>
                <w:szCs w:val="22"/>
              </w:rPr>
              <w:t>0.001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0DAA94AD" w14:textId="77777777" w:rsidR="003F1649" w:rsidRPr="00121EB8" w:rsidRDefault="003F1649" w:rsidP="00BB3E39">
            <w:pPr>
              <w:rPr>
                <w:rFonts w:ascii="Arial" w:hAnsi="Arial"/>
                <w:sz w:val="22"/>
                <w:szCs w:val="22"/>
              </w:rPr>
            </w:pPr>
            <w:r w:rsidRPr="00121EB8">
              <w:rPr>
                <w:rFonts w:ascii="Arial" w:hAnsi="Arial"/>
                <w:sz w:val="22"/>
                <w:szCs w:val="22"/>
              </w:rPr>
              <w:t>0.005</w:t>
            </w:r>
          </w:p>
        </w:tc>
      </w:tr>
      <w:tr w:rsidR="003F1649" w:rsidRPr="00121EB8" w14:paraId="52F35592" w14:textId="77777777" w:rsidTr="003F1649">
        <w:trPr>
          <w:trHeight w:val="368"/>
          <w:jc w:val="center"/>
        </w:trPr>
        <w:tc>
          <w:tcPr>
            <w:tcW w:w="7210" w:type="dxa"/>
            <w:gridSpan w:val="4"/>
            <w:tcBorders>
              <w:top w:val="nil"/>
              <w:left w:val="single" w:sz="8" w:space="0" w:color="000000"/>
              <w:bottom w:val="nil"/>
              <w:right w:val="single" w:sz="8" w:space="0" w:color="000000"/>
            </w:tcBorders>
            <w:shd w:val="clear" w:color="auto" w:fill="E7E6E6"/>
            <w:tcMar>
              <w:top w:w="10" w:type="dxa"/>
              <w:left w:w="10" w:type="dxa"/>
              <w:bottom w:w="0" w:type="dxa"/>
              <w:right w:w="10" w:type="dxa"/>
            </w:tcMar>
            <w:vAlign w:val="center"/>
            <w:hideMark/>
          </w:tcPr>
          <w:p w14:paraId="49335FE9" w14:textId="77777777" w:rsidR="003F1649" w:rsidRPr="00121EB8" w:rsidRDefault="003F1649" w:rsidP="00BB3E39">
            <w:pPr>
              <w:rPr>
                <w:rFonts w:ascii="Arial" w:hAnsi="Arial"/>
                <w:sz w:val="22"/>
                <w:szCs w:val="22"/>
              </w:rPr>
            </w:pPr>
            <w:r w:rsidRPr="00121EB8">
              <w:rPr>
                <w:rFonts w:ascii="Arial" w:hAnsi="Arial"/>
                <w:b/>
                <w:bCs/>
                <w:sz w:val="22"/>
                <w:szCs w:val="22"/>
              </w:rPr>
              <w:t>Mono</w:t>
            </w:r>
            <w:r w:rsidRPr="00121EB8">
              <w:rPr>
                <w:rFonts w:ascii="Arial" w:hAnsi="Arial"/>
                <w:b/>
                <w:bCs/>
                <w:i/>
                <w:iCs/>
                <w:sz w:val="22"/>
                <w:szCs w:val="22"/>
              </w:rPr>
              <w:t>-ortho</w:t>
            </w:r>
            <w:r w:rsidRPr="00121EB8">
              <w:rPr>
                <w:rFonts w:ascii="Arial" w:hAnsi="Arial"/>
                <w:b/>
                <w:bCs/>
                <w:sz w:val="22"/>
                <w:szCs w:val="22"/>
              </w:rPr>
              <w:t xml:space="preserve"> PCBs</w:t>
            </w:r>
          </w:p>
        </w:tc>
      </w:tr>
      <w:tr w:rsidR="003F1649" w:rsidRPr="00121EB8" w14:paraId="0E755537" w14:textId="77777777" w:rsidTr="003F1649">
        <w:trPr>
          <w:trHeight w:val="342"/>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5C269967" w14:textId="77777777" w:rsidR="003F1649" w:rsidRPr="00121EB8" w:rsidRDefault="003F1649" w:rsidP="00BB3E39">
            <w:pPr>
              <w:rPr>
                <w:rFonts w:ascii="Arial" w:hAnsi="Arial"/>
                <w:sz w:val="22"/>
                <w:szCs w:val="22"/>
              </w:rPr>
            </w:pPr>
            <w:r w:rsidRPr="00121EB8">
              <w:rPr>
                <w:rFonts w:ascii="Arial" w:hAnsi="Arial"/>
                <w:sz w:val="22"/>
                <w:szCs w:val="22"/>
              </w:rPr>
              <w:t>2,3,3',4,4'-PeCB (105)</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4FD7FCAD" w14:textId="77777777" w:rsidR="003F1649" w:rsidRPr="00121EB8" w:rsidRDefault="003F1649" w:rsidP="00BB3E39">
            <w:pPr>
              <w:rPr>
                <w:rFonts w:ascii="Arial" w:hAnsi="Arial"/>
                <w:sz w:val="22"/>
                <w:szCs w:val="22"/>
              </w:rPr>
            </w:pPr>
            <w:r w:rsidRPr="00121EB8">
              <w:rPr>
                <w:rFonts w:ascii="Arial" w:hAnsi="Arial"/>
                <w:sz w:val="22"/>
                <w:szCs w:val="22"/>
              </w:rPr>
              <w:t>0.0003</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2C056725" w14:textId="77777777" w:rsidR="003F1649" w:rsidRPr="00121EB8" w:rsidRDefault="003F1649" w:rsidP="00BB3E39">
            <w:pPr>
              <w:rPr>
                <w:rFonts w:ascii="Arial" w:hAnsi="Arial"/>
                <w:sz w:val="22"/>
                <w:szCs w:val="22"/>
              </w:rPr>
            </w:pPr>
            <w:r w:rsidRPr="00121EB8">
              <w:rPr>
                <w:rFonts w:ascii="Arial" w:hAnsi="Arial"/>
                <w:sz w:val="22"/>
                <w:szCs w:val="22"/>
              </w:rPr>
              <w:t>0.0001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6652B84D" w14:textId="77777777" w:rsidR="003F1649" w:rsidRPr="00121EB8" w:rsidRDefault="003F1649" w:rsidP="00BB3E39">
            <w:pPr>
              <w:rPr>
                <w:rFonts w:ascii="Arial" w:hAnsi="Arial"/>
                <w:sz w:val="22"/>
                <w:szCs w:val="22"/>
              </w:rPr>
            </w:pPr>
            <w:r w:rsidRPr="00121EB8">
              <w:rPr>
                <w:rFonts w:ascii="Arial" w:hAnsi="Arial"/>
                <w:sz w:val="22"/>
                <w:szCs w:val="22"/>
              </w:rPr>
              <w:t>&lt;0.000005</w:t>
            </w:r>
          </w:p>
        </w:tc>
      </w:tr>
      <w:tr w:rsidR="003F1649" w:rsidRPr="00121EB8" w14:paraId="2E9E8DB9"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4652E065" w14:textId="77777777" w:rsidR="003F1649" w:rsidRPr="00121EB8" w:rsidRDefault="003F1649" w:rsidP="00BB3E39">
            <w:pPr>
              <w:rPr>
                <w:rFonts w:ascii="Arial" w:hAnsi="Arial"/>
                <w:sz w:val="22"/>
                <w:szCs w:val="22"/>
              </w:rPr>
            </w:pPr>
            <w:r w:rsidRPr="00121EB8">
              <w:rPr>
                <w:rFonts w:ascii="Arial" w:hAnsi="Arial"/>
                <w:sz w:val="22"/>
                <w:szCs w:val="22"/>
              </w:rPr>
              <w:t>2,3,4,4',5-PeCB (114)</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74774C1E" w14:textId="77777777" w:rsidR="003F1649" w:rsidRPr="00121EB8" w:rsidRDefault="003F1649" w:rsidP="00BB3E39">
            <w:pPr>
              <w:rPr>
                <w:rFonts w:ascii="Arial" w:hAnsi="Arial"/>
                <w:sz w:val="22"/>
                <w:szCs w:val="22"/>
              </w:rPr>
            </w:pPr>
            <w:r w:rsidRPr="00121EB8">
              <w:rPr>
                <w:rFonts w:ascii="Arial" w:hAnsi="Arial"/>
                <w:sz w:val="22"/>
                <w:szCs w:val="22"/>
              </w:rPr>
              <w:t>0.0003</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1FB01B67" w14:textId="77777777" w:rsidR="003F1649" w:rsidRPr="00121EB8" w:rsidRDefault="003F1649" w:rsidP="00BB3E39">
            <w:pPr>
              <w:rPr>
                <w:rFonts w:ascii="Arial" w:hAnsi="Arial"/>
                <w:sz w:val="22"/>
                <w:szCs w:val="22"/>
              </w:rPr>
            </w:pPr>
            <w:r w:rsidRPr="00121EB8">
              <w:rPr>
                <w:rFonts w:ascii="Arial" w:hAnsi="Arial"/>
                <w:sz w:val="22"/>
                <w:szCs w:val="22"/>
              </w:rPr>
              <w:t>0.0001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421805AD" w14:textId="77777777" w:rsidR="003F1649" w:rsidRPr="00121EB8" w:rsidRDefault="003F1649" w:rsidP="00BB3E39">
            <w:pPr>
              <w:rPr>
                <w:rFonts w:ascii="Arial" w:hAnsi="Arial"/>
                <w:sz w:val="22"/>
                <w:szCs w:val="22"/>
              </w:rPr>
            </w:pPr>
            <w:r w:rsidRPr="00121EB8">
              <w:rPr>
                <w:rFonts w:ascii="Arial" w:hAnsi="Arial"/>
                <w:sz w:val="22"/>
                <w:szCs w:val="22"/>
              </w:rPr>
              <w:t>&lt;0.000005</w:t>
            </w:r>
          </w:p>
        </w:tc>
      </w:tr>
      <w:tr w:rsidR="003F1649" w:rsidRPr="00121EB8" w14:paraId="2A12E063"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13AFBDD0" w14:textId="77777777" w:rsidR="003F1649" w:rsidRPr="00121EB8" w:rsidRDefault="003F1649" w:rsidP="00BB3E39">
            <w:pPr>
              <w:rPr>
                <w:rFonts w:ascii="Arial" w:hAnsi="Arial"/>
                <w:sz w:val="22"/>
                <w:szCs w:val="22"/>
              </w:rPr>
            </w:pPr>
            <w:r w:rsidRPr="00121EB8">
              <w:rPr>
                <w:rFonts w:ascii="Arial" w:hAnsi="Arial"/>
                <w:sz w:val="22"/>
                <w:szCs w:val="22"/>
              </w:rPr>
              <w:t>2,3',4,4'5-PeCB (118)</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5811929A" w14:textId="77777777" w:rsidR="003F1649" w:rsidRPr="00121EB8" w:rsidRDefault="003F1649" w:rsidP="00BB3E39">
            <w:pPr>
              <w:rPr>
                <w:rFonts w:ascii="Arial" w:hAnsi="Arial"/>
                <w:sz w:val="22"/>
                <w:szCs w:val="22"/>
              </w:rPr>
            </w:pPr>
            <w:r w:rsidRPr="00121EB8">
              <w:rPr>
                <w:rFonts w:ascii="Arial" w:hAnsi="Arial"/>
                <w:sz w:val="22"/>
                <w:szCs w:val="22"/>
              </w:rPr>
              <w:t>0.0003</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35320712" w14:textId="77777777" w:rsidR="003F1649" w:rsidRPr="00121EB8" w:rsidRDefault="003F1649" w:rsidP="00BB3E39">
            <w:pPr>
              <w:rPr>
                <w:rFonts w:ascii="Arial" w:hAnsi="Arial"/>
                <w:sz w:val="22"/>
                <w:szCs w:val="22"/>
              </w:rPr>
            </w:pPr>
            <w:r w:rsidRPr="00121EB8">
              <w:rPr>
                <w:rFonts w:ascii="Arial" w:hAnsi="Arial"/>
                <w:sz w:val="22"/>
                <w:szCs w:val="22"/>
              </w:rPr>
              <w:t>0.00001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5B46114F" w14:textId="77777777" w:rsidR="003F1649" w:rsidRPr="00121EB8" w:rsidRDefault="003F1649" w:rsidP="00BB3E39">
            <w:pPr>
              <w:rPr>
                <w:rFonts w:ascii="Arial" w:hAnsi="Arial"/>
                <w:sz w:val="22"/>
                <w:szCs w:val="22"/>
              </w:rPr>
            </w:pPr>
            <w:r w:rsidRPr="00121EB8">
              <w:rPr>
                <w:rFonts w:ascii="Arial" w:hAnsi="Arial"/>
                <w:sz w:val="22"/>
                <w:szCs w:val="22"/>
              </w:rPr>
              <w:t>&lt;0.000005</w:t>
            </w:r>
          </w:p>
        </w:tc>
      </w:tr>
      <w:tr w:rsidR="003F1649" w:rsidRPr="00121EB8" w14:paraId="087E5449"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313703E4" w14:textId="77777777" w:rsidR="003F1649" w:rsidRPr="00121EB8" w:rsidRDefault="003F1649" w:rsidP="00BB3E39">
            <w:pPr>
              <w:rPr>
                <w:rFonts w:ascii="Arial" w:hAnsi="Arial"/>
                <w:sz w:val="22"/>
                <w:szCs w:val="22"/>
              </w:rPr>
            </w:pPr>
            <w:r w:rsidRPr="00121EB8">
              <w:rPr>
                <w:rFonts w:ascii="Arial" w:hAnsi="Arial"/>
                <w:sz w:val="22"/>
                <w:szCs w:val="22"/>
              </w:rPr>
              <w:t>2',3,4,4',5-PeCB (123)</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269D1813" w14:textId="77777777" w:rsidR="003F1649" w:rsidRPr="00121EB8" w:rsidRDefault="003F1649" w:rsidP="00BB3E39">
            <w:pPr>
              <w:rPr>
                <w:rFonts w:ascii="Arial" w:hAnsi="Arial"/>
                <w:sz w:val="22"/>
                <w:szCs w:val="22"/>
              </w:rPr>
            </w:pPr>
            <w:r w:rsidRPr="00121EB8">
              <w:rPr>
                <w:rFonts w:ascii="Arial" w:hAnsi="Arial"/>
                <w:sz w:val="22"/>
                <w:szCs w:val="22"/>
              </w:rPr>
              <w:t>0.0003</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73B146FF" w14:textId="77777777" w:rsidR="003F1649" w:rsidRPr="00121EB8" w:rsidRDefault="003F1649" w:rsidP="00BB3E39">
            <w:pPr>
              <w:rPr>
                <w:rFonts w:ascii="Arial" w:hAnsi="Arial"/>
                <w:sz w:val="22"/>
                <w:szCs w:val="22"/>
              </w:rPr>
            </w:pPr>
            <w:r w:rsidRPr="00121EB8">
              <w:rPr>
                <w:rFonts w:ascii="Arial" w:hAnsi="Arial"/>
                <w:sz w:val="22"/>
                <w:szCs w:val="22"/>
              </w:rPr>
              <w:t>0.00001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72FDAA62" w14:textId="77777777" w:rsidR="003F1649" w:rsidRPr="00121EB8" w:rsidRDefault="003F1649" w:rsidP="00BB3E39">
            <w:pPr>
              <w:rPr>
                <w:rFonts w:ascii="Arial" w:hAnsi="Arial"/>
                <w:sz w:val="22"/>
                <w:szCs w:val="22"/>
              </w:rPr>
            </w:pPr>
            <w:r w:rsidRPr="00121EB8">
              <w:rPr>
                <w:rFonts w:ascii="Arial" w:hAnsi="Arial"/>
                <w:sz w:val="22"/>
                <w:szCs w:val="22"/>
              </w:rPr>
              <w:t>&lt;0.000005</w:t>
            </w:r>
          </w:p>
        </w:tc>
      </w:tr>
      <w:tr w:rsidR="003F1649" w:rsidRPr="00121EB8" w14:paraId="574076F2"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71743089" w14:textId="77777777" w:rsidR="003F1649" w:rsidRPr="00121EB8" w:rsidRDefault="003F1649" w:rsidP="00BB3E39">
            <w:pPr>
              <w:rPr>
                <w:rFonts w:ascii="Arial" w:hAnsi="Arial"/>
                <w:sz w:val="22"/>
                <w:szCs w:val="22"/>
              </w:rPr>
            </w:pPr>
            <w:r w:rsidRPr="00121EB8">
              <w:rPr>
                <w:rFonts w:ascii="Arial" w:hAnsi="Arial"/>
                <w:sz w:val="22"/>
                <w:szCs w:val="22"/>
              </w:rPr>
              <w:t>2,3,3'4,4',5-HxCB (156)</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1176E492" w14:textId="77777777" w:rsidR="003F1649" w:rsidRPr="00121EB8" w:rsidRDefault="003F1649" w:rsidP="00BB3E39">
            <w:pPr>
              <w:rPr>
                <w:rFonts w:ascii="Arial" w:hAnsi="Arial"/>
                <w:sz w:val="22"/>
                <w:szCs w:val="22"/>
              </w:rPr>
            </w:pPr>
            <w:r w:rsidRPr="00121EB8">
              <w:rPr>
                <w:rFonts w:ascii="Arial" w:hAnsi="Arial"/>
                <w:sz w:val="22"/>
                <w:szCs w:val="22"/>
              </w:rPr>
              <w:t>0.0003</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192B5EA1" w14:textId="77777777" w:rsidR="003F1649" w:rsidRPr="00121EB8" w:rsidRDefault="003F1649" w:rsidP="00BB3E39">
            <w:pPr>
              <w:rPr>
                <w:rFonts w:ascii="Arial" w:hAnsi="Arial"/>
                <w:sz w:val="22"/>
                <w:szCs w:val="22"/>
              </w:rPr>
            </w:pPr>
            <w:r w:rsidRPr="00121EB8">
              <w:rPr>
                <w:rFonts w:ascii="Arial" w:hAnsi="Arial"/>
                <w:sz w:val="22"/>
                <w:szCs w:val="22"/>
              </w:rPr>
              <w:t>0.0001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2FD9F2B3" w14:textId="77777777" w:rsidR="003F1649" w:rsidRPr="00121EB8" w:rsidRDefault="003F1649" w:rsidP="00BB3E39">
            <w:pPr>
              <w:rPr>
                <w:rFonts w:ascii="Arial" w:hAnsi="Arial"/>
                <w:sz w:val="22"/>
                <w:szCs w:val="22"/>
              </w:rPr>
            </w:pPr>
            <w:r w:rsidRPr="00121EB8">
              <w:rPr>
                <w:rFonts w:ascii="Arial" w:hAnsi="Arial"/>
                <w:sz w:val="22"/>
                <w:szCs w:val="22"/>
              </w:rPr>
              <w:t>&lt;0.000005</w:t>
            </w:r>
          </w:p>
        </w:tc>
      </w:tr>
      <w:tr w:rsidR="003F1649" w:rsidRPr="00121EB8" w14:paraId="01B11221"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5F200B69" w14:textId="77777777" w:rsidR="003F1649" w:rsidRPr="00121EB8" w:rsidRDefault="003F1649" w:rsidP="00BB3E39">
            <w:pPr>
              <w:rPr>
                <w:rFonts w:ascii="Arial" w:hAnsi="Arial"/>
                <w:sz w:val="22"/>
                <w:szCs w:val="22"/>
              </w:rPr>
            </w:pPr>
            <w:r w:rsidRPr="00121EB8">
              <w:rPr>
                <w:rFonts w:ascii="Arial" w:hAnsi="Arial"/>
                <w:sz w:val="22"/>
                <w:szCs w:val="22"/>
              </w:rPr>
              <w:t>2,3,3'4,4',5'-HxCB (157)</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6B62B1C1" w14:textId="77777777" w:rsidR="003F1649" w:rsidRPr="00121EB8" w:rsidRDefault="003F1649" w:rsidP="00BB3E39">
            <w:pPr>
              <w:rPr>
                <w:rFonts w:ascii="Arial" w:hAnsi="Arial"/>
                <w:sz w:val="22"/>
                <w:szCs w:val="22"/>
              </w:rPr>
            </w:pPr>
            <w:r w:rsidRPr="00121EB8">
              <w:rPr>
                <w:rFonts w:ascii="Arial" w:hAnsi="Arial"/>
                <w:sz w:val="22"/>
                <w:szCs w:val="22"/>
              </w:rPr>
              <w:t>0.0003</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444A278F" w14:textId="77777777" w:rsidR="003F1649" w:rsidRPr="00121EB8" w:rsidRDefault="003F1649" w:rsidP="00BB3E39">
            <w:pPr>
              <w:rPr>
                <w:rFonts w:ascii="Arial" w:hAnsi="Arial"/>
                <w:sz w:val="22"/>
                <w:szCs w:val="22"/>
              </w:rPr>
            </w:pPr>
            <w:r w:rsidRPr="00121EB8">
              <w:rPr>
                <w:rFonts w:ascii="Arial" w:hAnsi="Arial"/>
                <w:sz w:val="22"/>
                <w:szCs w:val="22"/>
              </w:rPr>
              <w:t>0.0001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6BDC68E5" w14:textId="77777777" w:rsidR="003F1649" w:rsidRPr="00121EB8" w:rsidRDefault="003F1649" w:rsidP="00BB3E39">
            <w:pPr>
              <w:rPr>
                <w:rFonts w:ascii="Arial" w:hAnsi="Arial"/>
                <w:sz w:val="22"/>
                <w:szCs w:val="22"/>
              </w:rPr>
            </w:pPr>
            <w:r w:rsidRPr="00121EB8">
              <w:rPr>
                <w:rFonts w:ascii="Arial" w:hAnsi="Arial"/>
                <w:sz w:val="22"/>
                <w:szCs w:val="22"/>
              </w:rPr>
              <w:t>&lt;0.000005</w:t>
            </w:r>
          </w:p>
        </w:tc>
      </w:tr>
      <w:tr w:rsidR="003F1649" w:rsidRPr="00121EB8" w14:paraId="38F27FFC" w14:textId="77777777" w:rsidTr="003F1649">
        <w:trPr>
          <w:trHeight w:val="248"/>
          <w:jc w:val="center"/>
        </w:trPr>
        <w:tc>
          <w:tcPr>
            <w:tcW w:w="2980" w:type="dxa"/>
            <w:tcBorders>
              <w:top w:val="nil"/>
              <w:left w:val="single" w:sz="8" w:space="0" w:color="000000"/>
              <w:bottom w:val="nil"/>
              <w:right w:val="nil"/>
            </w:tcBorders>
            <w:shd w:val="clear" w:color="auto" w:fill="auto"/>
            <w:tcMar>
              <w:top w:w="10" w:type="dxa"/>
              <w:left w:w="10" w:type="dxa"/>
              <w:bottom w:w="0" w:type="dxa"/>
              <w:right w:w="10" w:type="dxa"/>
            </w:tcMar>
            <w:vAlign w:val="center"/>
            <w:hideMark/>
          </w:tcPr>
          <w:p w14:paraId="01113610" w14:textId="77777777" w:rsidR="003F1649" w:rsidRPr="00121EB8" w:rsidRDefault="003F1649" w:rsidP="00BB3E39">
            <w:pPr>
              <w:rPr>
                <w:rFonts w:ascii="Arial" w:hAnsi="Arial"/>
                <w:sz w:val="22"/>
                <w:szCs w:val="22"/>
              </w:rPr>
            </w:pPr>
            <w:r w:rsidRPr="00121EB8">
              <w:rPr>
                <w:rFonts w:ascii="Arial" w:hAnsi="Arial"/>
                <w:sz w:val="22"/>
                <w:szCs w:val="22"/>
              </w:rPr>
              <w:t>2,3'4,4',5,5'-HxCB (167)</w:t>
            </w:r>
          </w:p>
        </w:tc>
        <w:tc>
          <w:tcPr>
            <w:tcW w:w="1620" w:type="dxa"/>
            <w:tcBorders>
              <w:top w:val="nil"/>
              <w:left w:val="nil"/>
              <w:bottom w:val="nil"/>
              <w:right w:val="nil"/>
            </w:tcBorders>
            <w:shd w:val="clear" w:color="auto" w:fill="auto"/>
            <w:tcMar>
              <w:top w:w="10" w:type="dxa"/>
              <w:left w:w="10" w:type="dxa"/>
              <w:bottom w:w="0" w:type="dxa"/>
              <w:right w:w="10" w:type="dxa"/>
            </w:tcMar>
            <w:vAlign w:val="center"/>
            <w:hideMark/>
          </w:tcPr>
          <w:p w14:paraId="0C53AE87" w14:textId="77777777" w:rsidR="003F1649" w:rsidRPr="00121EB8" w:rsidRDefault="003F1649" w:rsidP="00BB3E39">
            <w:pPr>
              <w:rPr>
                <w:rFonts w:ascii="Arial" w:hAnsi="Arial"/>
                <w:sz w:val="22"/>
                <w:szCs w:val="22"/>
              </w:rPr>
            </w:pPr>
            <w:r w:rsidRPr="00121EB8">
              <w:rPr>
                <w:rFonts w:ascii="Arial" w:hAnsi="Arial"/>
                <w:sz w:val="22"/>
                <w:szCs w:val="22"/>
              </w:rPr>
              <w:t>0.0003</w:t>
            </w:r>
          </w:p>
        </w:tc>
        <w:tc>
          <w:tcPr>
            <w:tcW w:w="1350" w:type="dxa"/>
            <w:tcBorders>
              <w:top w:val="nil"/>
              <w:left w:val="nil"/>
              <w:bottom w:val="nil"/>
              <w:right w:val="nil"/>
            </w:tcBorders>
            <w:shd w:val="clear" w:color="auto" w:fill="auto"/>
            <w:tcMar>
              <w:top w:w="10" w:type="dxa"/>
              <w:left w:w="10" w:type="dxa"/>
              <w:bottom w:w="0" w:type="dxa"/>
              <w:right w:w="10" w:type="dxa"/>
            </w:tcMar>
            <w:vAlign w:val="center"/>
            <w:hideMark/>
          </w:tcPr>
          <w:p w14:paraId="015B29B0" w14:textId="77777777" w:rsidR="003F1649" w:rsidRPr="00121EB8" w:rsidRDefault="003F1649" w:rsidP="00BB3E39">
            <w:pPr>
              <w:rPr>
                <w:rFonts w:ascii="Arial" w:hAnsi="Arial"/>
                <w:sz w:val="22"/>
                <w:szCs w:val="22"/>
              </w:rPr>
            </w:pPr>
            <w:r w:rsidRPr="00121EB8">
              <w:rPr>
                <w:rFonts w:ascii="Arial" w:hAnsi="Arial"/>
                <w:sz w:val="22"/>
                <w:szCs w:val="22"/>
              </w:rPr>
              <w:t>0.00001</w:t>
            </w:r>
          </w:p>
        </w:tc>
        <w:tc>
          <w:tcPr>
            <w:tcW w:w="1260" w:type="dxa"/>
            <w:tcBorders>
              <w:top w:val="nil"/>
              <w:left w:val="nil"/>
              <w:bottom w:val="nil"/>
              <w:right w:val="single" w:sz="8" w:space="0" w:color="000000"/>
            </w:tcBorders>
            <w:shd w:val="clear" w:color="auto" w:fill="auto"/>
            <w:tcMar>
              <w:top w:w="10" w:type="dxa"/>
              <w:left w:w="10" w:type="dxa"/>
              <w:bottom w:w="0" w:type="dxa"/>
              <w:right w:w="10" w:type="dxa"/>
            </w:tcMar>
            <w:vAlign w:val="center"/>
            <w:hideMark/>
          </w:tcPr>
          <w:p w14:paraId="215AF194" w14:textId="77777777" w:rsidR="003F1649" w:rsidRPr="00121EB8" w:rsidRDefault="003F1649" w:rsidP="00BB3E39">
            <w:pPr>
              <w:rPr>
                <w:rFonts w:ascii="Arial" w:hAnsi="Arial"/>
                <w:sz w:val="22"/>
                <w:szCs w:val="22"/>
              </w:rPr>
            </w:pPr>
            <w:r w:rsidRPr="00121EB8">
              <w:rPr>
                <w:rFonts w:ascii="Arial" w:hAnsi="Arial"/>
                <w:sz w:val="22"/>
                <w:szCs w:val="22"/>
              </w:rPr>
              <w:t>&lt;0.000005</w:t>
            </w:r>
          </w:p>
        </w:tc>
      </w:tr>
      <w:tr w:rsidR="003F1649" w:rsidRPr="00121EB8" w14:paraId="3743B9AC" w14:textId="77777777" w:rsidTr="003F1649">
        <w:trPr>
          <w:trHeight w:val="248"/>
          <w:jc w:val="center"/>
        </w:trPr>
        <w:tc>
          <w:tcPr>
            <w:tcW w:w="2980" w:type="dxa"/>
            <w:tcBorders>
              <w:top w:val="nil"/>
              <w:left w:val="single" w:sz="8" w:space="0" w:color="000000"/>
              <w:bottom w:val="single" w:sz="8" w:space="0" w:color="000000"/>
              <w:right w:val="nil"/>
            </w:tcBorders>
            <w:shd w:val="clear" w:color="auto" w:fill="auto"/>
            <w:tcMar>
              <w:top w:w="10" w:type="dxa"/>
              <w:left w:w="10" w:type="dxa"/>
              <w:bottom w:w="0" w:type="dxa"/>
              <w:right w:w="10" w:type="dxa"/>
            </w:tcMar>
            <w:vAlign w:val="center"/>
            <w:hideMark/>
          </w:tcPr>
          <w:p w14:paraId="4A24A70F" w14:textId="77777777" w:rsidR="003F1649" w:rsidRPr="00121EB8" w:rsidRDefault="003F1649" w:rsidP="00BB3E39">
            <w:pPr>
              <w:rPr>
                <w:rFonts w:ascii="Arial" w:hAnsi="Arial"/>
                <w:sz w:val="22"/>
                <w:szCs w:val="22"/>
              </w:rPr>
            </w:pPr>
            <w:r w:rsidRPr="00121EB8">
              <w:rPr>
                <w:rFonts w:ascii="Arial" w:hAnsi="Arial"/>
                <w:sz w:val="22"/>
                <w:szCs w:val="22"/>
              </w:rPr>
              <w:t>2,3,3'4,4',5,5'-HeCB (189)</w:t>
            </w:r>
          </w:p>
        </w:tc>
        <w:tc>
          <w:tcPr>
            <w:tcW w:w="1620" w:type="dxa"/>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7B29D358" w14:textId="77777777" w:rsidR="003F1649" w:rsidRPr="00121EB8" w:rsidRDefault="003F1649" w:rsidP="00BB3E39">
            <w:pPr>
              <w:rPr>
                <w:rFonts w:ascii="Arial" w:hAnsi="Arial"/>
                <w:sz w:val="22"/>
                <w:szCs w:val="22"/>
              </w:rPr>
            </w:pPr>
            <w:r w:rsidRPr="00121EB8">
              <w:rPr>
                <w:rFonts w:ascii="Arial" w:hAnsi="Arial"/>
                <w:sz w:val="22"/>
                <w:szCs w:val="22"/>
              </w:rPr>
              <w:t>0.0003</w:t>
            </w:r>
          </w:p>
        </w:tc>
        <w:tc>
          <w:tcPr>
            <w:tcW w:w="1350" w:type="dxa"/>
            <w:tcBorders>
              <w:top w:val="nil"/>
              <w:left w:val="nil"/>
              <w:bottom w:val="single" w:sz="8" w:space="0" w:color="000000"/>
              <w:right w:val="nil"/>
            </w:tcBorders>
            <w:shd w:val="clear" w:color="auto" w:fill="auto"/>
            <w:tcMar>
              <w:top w:w="10" w:type="dxa"/>
              <w:left w:w="10" w:type="dxa"/>
              <w:bottom w:w="0" w:type="dxa"/>
              <w:right w:w="10" w:type="dxa"/>
            </w:tcMar>
            <w:vAlign w:val="center"/>
            <w:hideMark/>
          </w:tcPr>
          <w:p w14:paraId="0E9DE290" w14:textId="77777777" w:rsidR="003F1649" w:rsidRPr="00121EB8" w:rsidRDefault="003F1649" w:rsidP="00BB3E39">
            <w:pPr>
              <w:rPr>
                <w:rFonts w:ascii="Arial" w:hAnsi="Arial"/>
                <w:sz w:val="22"/>
                <w:szCs w:val="22"/>
              </w:rPr>
            </w:pPr>
            <w:r w:rsidRPr="00121EB8">
              <w:rPr>
                <w:rFonts w:ascii="Arial" w:hAnsi="Arial"/>
                <w:sz w:val="22"/>
                <w:szCs w:val="22"/>
              </w:rPr>
              <w:t>0.00001</w:t>
            </w:r>
          </w:p>
        </w:tc>
        <w:tc>
          <w:tcPr>
            <w:tcW w:w="1260" w:type="dxa"/>
            <w:tcBorders>
              <w:top w:val="nil"/>
              <w:left w:val="nil"/>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A097113" w14:textId="77777777" w:rsidR="003F1649" w:rsidRPr="00121EB8" w:rsidRDefault="003F1649" w:rsidP="00BB3E39">
            <w:pPr>
              <w:rPr>
                <w:rFonts w:ascii="Arial" w:hAnsi="Arial"/>
                <w:sz w:val="22"/>
                <w:szCs w:val="22"/>
              </w:rPr>
            </w:pPr>
            <w:r w:rsidRPr="00121EB8">
              <w:rPr>
                <w:rFonts w:ascii="Arial" w:hAnsi="Arial"/>
                <w:sz w:val="22"/>
                <w:szCs w:val="22"/>
              </w:rPr>
              <w:t>&lt;0.000005</w:t>
            </w:r>
          </w:p>
        </w:tc>
      </w:tr>
    </w:tbl>
    <w:p w14:paraId="61A86846" w14:textId="0F69F113" w:rsidR="003F1649" w:rsidRPr="003F1649" w:rsidRDefault="003F1649" w:rsidP="00E10554">
      <w:pPr>
        <w:jc w:val="both"/>
        <w:rPr>
          <w:rFonts w:ascii="Arial" w:hAnsi="Arial"/>
          <w:i/>
          <w:sz w:val="18"/>
          <w:szCs w:val="18"/>
        </w:rPr>
      </w:pPr>
      <w:r>
        <w:rPr>
          <w:rFonts w:ascii="Arial" w:hAnsi="Arial"/>
          <w:sz w:val="22"/>
          <w:szCs w:val="22"/>
        </w:rPr>
        <w:tab/>
      </w:r>
      <w:r>
        <w:rPr>
          <w:rFonts w:ascii="Arial" w:hAnsi="Arial"/>
          <w:i/>
          <w:sz w:val="18"/>
          <w:szCs w:val="18"/>
        </w:rPr>
        <w:t>source: (Van den Berg et al., 2006; Van den Berg et al., 1998)</w:t>
      </w:r>
    </w:p>
    <w:p w14:paraId="4F4EADEA" w14:textId="77777777" w:rsidR="00801534" w:rsidRDefault="00801534" w:rsidP="00E10554">
      <w:pPr>
        <w:jc w:val="both"/>
        <w:rPr>
          <w:rFonts w:ascii="Arial" w:hAnsi="Arial"/>
          <w:sz w:val="22"/>
          <w:szCs w:val="22"/>
        </w:rPr>
      </w:pPr>
    </w:p>
    <w:p w14:paraId="081B6892" w14:textId="002F43BD" w:rsidR="00762147" w:rsidRDefault="00DE66D6" w:rsidP="00C564EB">
      <w:pPr>
        <w:ind w:firstLine="720"/>
        <w:jc w:val="both"/>
        <w:rPr>
          <w:rFonts w:ascii="Arial" w:hAnsi="Arial"/>
          <w:sz w:val="22"/>
          <w:szCs w:val="22"/>
        </w:rPr>
      </w:pPr>
      <w:r>
        <w:rPr>
          <w:rFonts w:ascii="Arial" w:hAnsi="Arial"/>
          <w:sz w:val="22"/>
          <w:szCs w:val="22"/>
        </w:rPr>
        <w:t>Florida utilizes a weight of evidence approach for interpreting sediment quality (MacDonald and Ingersoll, 2002).</w:t>
      </w:r>
      <w:r w:rsidR="00E43E1F">
        <w:rPr>
          <w:rFonts w:ascii="Arial" w:hAnsi="Arial"/>
          <w:sz w:val="22"/>
          <w:szCs w:val="22"/>
        </w:rPr>
        <w:t xml:space="preserve">  The sediment quality triad </w:t>
      </w:r>
      <w:r w:rsidR="00FC1BDA">
        <w:rPr>
          <w:rFonts w:ascii="Arial" w:hAnsi="Arial"/>
          <w:sz w:val="22"/>
          <w:szCs w:val="22"/>
        </w:rPr>
        <w:t>evaluates</w:t>
      </w:r>
      <w:r w:rsidR="00E43E1F">
        <w:rPr>
          <w:rFonts w:ascii="Arial" w:hAnsi="Arial"/>
          <w:sz w:val="22"/>
          <w:szCs w:val="22"/>
        </w:rPr>
        <w:t xml:space="preserve"> sediment chemistry, toxicity testing, and benthic assessment results to </w:t>
      </w:r>
      <w:r w:rsidR="00FC1869">
        <w:rPr>
          <w:rFonts w:ascii="Arial" w:hAnsi="Arial"/>
          <w:sz w:val="22"/>
          <w:szCs w:val="22"/>
        </w:rPr>
        <w:t>determine</w:t>
      </w:r>
      <w:r w:rsidR="00E43E1F">
        <w:rPr>
          <w:rFonts w:ascii="Arial" w:hAnsi="Arial"/>
          <w:sz w:val="22"/>
          <w:szCs w:val="22"/>
        </w:rPr>
        <w:t xml:space="preserve"> whether impacts to the benthic community are likely</w:t>
      </w:r>
      <w:r w:rsidR="00FC1869">
        <w:rPr>
          <w:rFonts w:ascii="Arial" w:hAnsi="Arial"/>
          <w:sz w:val="22"/>
          <w:szCs w:val="22"/>
        </w:rPr>
        <w:t xml:space="preserve">.  </w:t>
      </w:r>
      <w:r w:rsidR="00FC1BDA">
        <w:rPr>
          <w:rFonts w:ascii="Arial" w:hAnsi="Arial"/>
          <w:sz w:val="22"/>
          <w:szCs w:val="22"/>
        </w:rPr>
        <w:t>T</w:t>
      </w:r>
      <w:r w:rsidR="00FC1869">
        <w:rPr>
          <w:rFonts w:ascii="Arial" w:hAnsi="Arial"/>
          <w:sz w:val="22"/>
          <w:szCs w:val="22"/>
        </w:rPr>
        <w:t>he contingency table for this weight of evidence approach</w:t>
      </w:r>
      <w:r w:rsidR="00FC1BDA">
        <w:rPr>
          <w:rFonts w:ascii="Arial" w:hAnsi="Arial"/>
          <w:sz w:val="22"/>
          <w:szCs w:val="22"/>
        </w:rPr>
        <w:t xml:space="preserve"> is shown in Table </w:t>
      </w:r>
      <w:r w:rsidR="00BF4806">
        <w:rPr>
          <w:rFonts w:ascii="Arial" w:hAnsi="Arial"/>
          <w:sz w:val="22"/>
          <w:szCs w:val="22"/>
        </w:rPr>
        <w:t>2</w:t>
      </w:r>
      <w:r w:rsidR="00FC1869">
        <w:rPr>
          <w:rFonts w:ascii="Arial" w:hAnsi="Arial"/>
          <w:sz w:val="22"/>
          <w:szCs w:val="22"/>
        </w:rPr>
        <w:t>.</w:t>
      </w:r>
      <w:r w:rsidR="00FC1BDA" w:rsidRPr="00FC1BDA">
        <w:rPr>
          <w:rFonts w:ascii="Arial" w:hAnsi="Arial"/>
          <w:sz w:val="22"/>
          <w:szCs w:val="22"/>
        </w:rPr>
        <w:t xml:space="preserve"> </w:t>
      </w:r>
      <w:r w:rsidR="00514F62">
        <w:rPr>
          <w:rFonts w:ascii="Arial" w:hAnsi="Arial"/>
          <w:sz w:val="22"/>
          <w:szCs w:val="22"/>
        </w:rPr>
        <w:t>Determining</w:t>
      </w:r>
      <w:r w:rsidR="00BC5844">
        <w:rPr>
          <w:rFonts w:ascii="Arial" w:hAnsi="Arial"/>
          <w:sz w:val="22"/>
          <w:szCs w:val="22"/>
        </w:rPr>
        <w:t xml:space="preserve"> outcomes</w:t>
      </w:r>
      <w:r w:rsidR="00FC1BDA">
        <w:rPr>
          <w:rFonts w:ascii="Arial" w:hAnsi="Arial"/>
          <w:sz w:val="22"/>
          <w:szCs w:val="22"/>
        </w:rPr>
        <w:t xml:space="preserve"> before sampling ensures that data interpretation is objective and independent of the results.</w:t>
      </w:r>
    </w:p>
    <w:p w14:paraId="4528CAE7" w14:textId="77777777" w:rsidR="00E10554" w:rsidRPr="00E20728" w:rsidRDefault="00E10554" w:rsidP="00C564EB">
      <w:pPr>
        <w:ind w:firstLine="720"/>
        <w:jc w:val="both"/>
        <w:rPr>
          <w:rFonts w:ascii="Arial" w:hAnsi="Arial"/>
          <w:sz w:val="22"/>
          <w:szCs w:val="22"/>
        </w:rPr>
      </w:pPr>
    </w:p>
    <w:p w14:paraId="0406C5C3" w14:textId="57B4D338" w:rsidR="00E10554" w:rsidRDefault="00E10554" w:rsidP="00E10554">
      <w:pPr>
        <w:ind w:left="1260" w:right="1260" w:hanging="1260"/>
        <w:jc w:val="both"/>
        <w:rPr>
          <w:rFonts w:ascii="Arial" w:hAnsi="Arial"/>
          <w:sz w:val="22"/>
          <w:szCs w:val="22"/>
        </w:rPr>
      </w:pPr>
      <w:r>
        <w:rPr>
          <w:rFonts w:ascii="Arial" w:hAnsi="Arial"/>
          <w:sz w:val="22"/>
          <w:szCs w:val="22"/>
        </w:rPr>
        <w:lastRenderedPageBreak/>
        <w:t xml:space="preserve">                     Table 2 – Contingency table for assessing impacts to aquatic life based on the sediment quality triad </w:t>
      </w:r>
    </w:p>
    <w:tbl>
      <w:tblPr>
        <w:tblStyle w:val="TableGrid"/>
        <w:tblW w:w="0" w:type="auto"/>
        <w:jc w:val="center"/>
        <w:tblLayout w:type="fixed"/>
        <w:tblLook w:val="04A0" w:firstRow="1" w:lastRow="0" w:firstColumn="1" w:lastColumn="0" w:noHBand="0" w:noVBand="1"/>
        <w:tblCaption w:val="Eco Risk Guidance"/>
        <w:tblDescription w:val="Eco Risk Guidance"/>
      </w:tblPr>
      <w:tblGrid>
        <w:gridCol w:w="1207"/>
        <w:gridCol w:w="1151"/>
        <w:gridCol w:w="1350"/>
        <w:gridCol w:w="2340"/>
      </w:tblGrid>
      <w:tr w:rsidR="00E10554" w14:paraId="60CD513E" w14:textId="77777777" w:rsidTr="00BB3E39">
        <w:trPr>
          <w:jc w:val="center"/>
        </w:trPr>
        <w:tc>
          <w:tcPr>
            <w:tcW w:w="1207" w:type="dxa"/>
            <w:tcBorders>
              <w:bottom w:val="double" w:sz="4" w:space="0" w:color="auto"/>
            </w:tcBorders>
          </w:tcPr>
          <w:p w14:paraId="12DD7CCB" w14:textId="77777777" w:rsidR="00E10554" w:rsidRDefault="00E10554" w:rsidP="00BB3E39">
            <w:pPr>
              <w:jc w:val="center"/>
              <w:rPr>
                <w:rFonts w:ascii="Arial" w:hAnsi="Arial"/>
                <w:sz w:val="22"/>
                <w:szCs w:val="22"/>
              </w:rPr>
            </w:pPr>
            <w:r>
              <w:rPr>
                <w:rFonts w:ascii="Arial" w:hAnsi="Arial"/>
                <w:sz w:val="22"/>
                <w:szCs w:val="22"/>
              </w:rPr>
              <w:t>Sediment Chemistry</w:t>
            </w:r>
          </w:p>
        </w:tc>
        <w:tc>
          <w:tcPr>
            <w:tcW w:w="1151" w:type="dxa"/>
            <w:tcBorders>
              <w:bottom w:val="double" w:sz="4" w:space="0" w:color="auto"/>
            </w:tcBorders>
          </w:tcPr>
          <w:p w14:paraId="56093F00" w14:textId="77777777" w:rsidR="00E10554" w:rsidRDefault="00E10554" w:rsidP="00BB3E39">
            <w:pPr>
              <w:jc w:val="center"/>
              <w:rPr>
                <w:rFonts w:ascii="Arial" w:hAnsi="Arial"/>
                <w:sz w:val="22"/>
                <w:szCs w:val="22"/>
              </w:rPr>
            </w:pPr>
            <w:r>
              <w:rPr>
                <w:rFonts w:ascii="Arial" w:hAnsi="Arial"/>
                <w:sz w:val="22"/>
                <w:szCs w:val="22"/>
              </w:rPr>
              <w:t>Toxicity Test</w:t>
            </w:r>
          </w:p>
        </w:tc>
        <w:tc>
          <w:tcPr>
            <w:tcW w:w="1350" w:type="dxa"/>
            <w:tcBorders>
              <w:bottom w:val="double" w:sz="4" w:space="0" w:color="auto"/>
            </w:tcBorders>
          </w:tcPr>
          <w:p w14:paraId="3BC2D93D" w14:textId="77777777" w:rsidR="00E10554" w:rsidRDefault="00E10554" w:rsidP="00BB3E39">
            <w:pPr>
              <w:jc w:val="center"/>
              <w:rPr>
                <w:rFonts w:ascii="Arial" w:hAnsi="Arial"/>
                <w:sz w:val="22"/>
                <w:szCs w:val="22"/>
              </w:rPr>
            </w:pPr>
            <w:r>
              <w:rPr>
                <w:rFonts w:ascii="Arial" w:hAnsi="Arial"/>
                <w:sz w:val="22"/>
                <w:szCs w:val="22"/>
              </w:rPr>
              <w:t>Benthic Community</w:t>
            </w:r>
          </w:p>
        </w:tc>
        <w:tc>
          <w:tcPr>
            <w:tcW w:w="2340" w:type="dxa"/>
            <w:tcBorders>
              <w:bottom w:val="double" w:sz="4" w:space="0" w:color="auto"/>
            </w:tcBorders>
            <w:vAlign w:val="bottom"/>
          </w:tcPr>
          <w:p w14:paraId="3D14C4C3" w14:textId="77777777" w:rsidR="00E10554" w:rsidRDefault="00E10554" w:rsidP="00BB3E39">
            <w:pPr>
              <w:ind w:left="6" w:hanging="6"/>
              <w:jc w:val="center"/>
              <w:rPr>
                <w:rFonts w:ascii="Arial" w:hAnsi="Arial"/>
                <w:sz w:val="22"/>
                <w:szCs w:val="22"/>
              </w:rPr>
            </w:pPr>
            <w:r>
              <w:rPr>
                <w:rFonts w:ascii="Arial" w:hAnsi="Arial"/>
                <w:sz w:val="22"/>
                <w:szCs w:val="22"/>
              </w:rPr>
              <w:t>Possible Conclusions</w:t>
            </w:r>
          </w:p>
        </w:tc>
      </w:tr>
      <w:tr w:rsidR="00E10554" w14:paraId="53E505E6" w14:textId="77777777" w:rsidTr="00BB3E39">
        <w:trPr>
          <w:jc w:val="center"/>
        </w:trPr>
        <w:tc>
          <w:tcPr>
            <w:tcW w:w="1207" w:type="dxa"/>
            <w:tcBorders>
              <w:top w:val="double" w:sz="4" w:space="0" w:color="auto"/>
            </w:tcBorders>
          </w:tcPr>
          <w:p w14:paraId="3FB2A0A6" w14:textId="77777777" w:rsidR="00E10554" w:rsidRDefault="00E10554" w:rsidP="00BB3E39">
            <w:pPr>
              <w:jc w:val="center"/>
              <w:rPr>
                <w:rFonts w:ascii="Arial" w:hAnsi="Arial"/>
                <w:sz w:val="22"/>
                <w:szCs w:val="22"/>
              </w:rPr>
            </w:pPr>
            <w:r>
              <w:rPr>
                <w:rFonts w:ascii="Arial" w:hAnsi="Arial"/>
                <w:sz w:val="22"/>
                <w:szCs w:val="22"/>
              </w:rPr>
              <w:t>+</w:t>
            </w:r>
          </w:p>
        </w:tc>
        <w:tc>
          <w:tcPr>
            <w:tcW w:w="1151" w:type="dxa"/>
            <w:tcBorders>
              <w:top w:val="double" w:sz="4" w:space="0" w:color="auto"/>
            </w:tcBorders>
          </w:tcPr>
          <w:p w14:paraId="42C9D413" w14:textId="77777777" w:rsidR="00E10554" w:rsidRDefault="00E10554" w:rsidP="00BB3E39">
            <w:pPr>
              <w:jc w:val="center"/>
              <w:rPr>
                <w:rFonts w:ascii="Arial" w:hAnsi="Arial"/>
                <w:sz w:val="22"/>
                <w:szCs w:val="22"/>
              </w:rPr>
            </w:pPr>
            <w:r>
              <w:rPr>
                <w:rFonts w:ascii="Arial" w:hAnsi="Arial"/>
                <w:sz w:val="22"/>
                <w:szCs w:val="22"/>
              </w:rPr>
              <w:t>+</w:t>
            </w:r>
          </w:p>
        </w:tc>
        <w:tc>
          <w:tcPr>
            <w:tcW w:w="1350" w:type="dxa"/>
            <w:tcBorders>
              <w:top w:val="double" w:sz="4" w:space="0" w:color="auto"/>
            </w:tcBorders>
          </w:tcPr>
          <w:p w14:paraId="53D9B996" w14:textId="77777777" w:rsidR="00E10554" w:rsidRDefault="00E10554" w:rsidP="00BB3E39">
            <w:pPr>
              <w:jc w:val="center"/>
              <w:rPr>
                <w:rFonts w:ascii="Arial" w:hAnsi="Arial"/>
                <w:sz w:val="22"/>
                <w:szCs w:val="22"/>
              </w:rPr>
            </w:pPr>
            <w:r>
              <w:rPr>
                <w:rFonts w:ascii="Arial" w:hAnsi="Arial"/>
                <w:sz w:val="22"/>
                <w:szCs w:val="22"/>
              </w:rPr>
              <w:t>+</w:t>
            </w:r>
          </w:p>
        </w:tc>
        <w:tc>
          <w:tcPr>
            <w:tcW w:w="2340" w:type="dxa"/>
            <w:tcBorders>
              <w:top w:val="double" w:sz="4" w:space="0" w:color="auto"/>
            </w:tcBorders>
          </w:tcPr>
          <w:p w14:paraId="62B1A3C7" w14:textId="77777777" w:rsidR="00E10554" w:rsidRDefault="00E10554" w:rsidP="00BB3E39">
            <w:pPr>
              <w:jc w:val="both"/>
              <w:rPr>
                <w:rFonts w:ascii="Arial" w:hAnsi="Arial"/>
                <w:sz w:val="22"/>
                <w:szCs w:val="22"/>
              </w:rPr>
            </w:pPr>
            <w:r>
              <w:rPr>
                <w:rFonts w:ascii="Arial" w:hAnsi="Arial"/>
                <w:sz w:val="22"/>
                <w:szCs w:val="22"/>
              </w:rPr>
              <w:t>Impact highly likely</w:t>
            </w:r>
          </w:p>
        </w:tc>
      </w:tr>
      <w:tr w:rsidR="00E10554" w14:paraId="5B847811" w14:textId="77777777" w:rsidTr="00BB3E39">
        <w:trPr>
          <w:jc w:val="center"/>
        </w:trPr>
        <w:tc>
          <w:tcPr>
            <w:tcW w:w="1207" w:type="dxa"/>
          </w:tcPr>
          <w:p w14:paraId="14202505" w14:textId="77777777" w:rsidR="00E10554" w:rsidRDefault="00E10554" w:rsidP="00BB3E39">
            <w:pPr>
              <w:jc w:val="center"/>
              <w:rPr>
                <w:rFonts w:ascii="Arial" w:hAnsi="Arial"/>
                <w:sz w:val="22"/>
                <w:szCs w:val="22"/>
              </w:rPr>
            </w:pPr>
            <w:r>
              <w:rPr>
                <w:rFonts w:ascii="Arial" w:hAnsi="Arial"/>
                <w:sz w:val="22"/>
                <w:szCs w:val="22"/>
              </w:rPr>
              <w:t>-</w:t>
            </w:r>
          </w:p>
        </w:tc>
        <w:tc>
          <w:tcPr>
            <w:tcW w:w="1151" w:type="dxa"/>
          </w:tcPr>
          <w:p w14:paraId="3038E9D7" w14:textId="77777777" w:rsidR="00E10554" w:rsidRDefault="00E10554" w:rsidP="00BB3E39">
            <w:pPr>
              <w:jc w:val="center"/>
              <w:rPr>
                <w:rFonts w:ascii="Arial" w:hAnsi="Arial"/>
                <w:sz w:val="22"/>
                <w:szCs w:val="22"/>
              </w:rPr>
            </w:pPr>
            <w:r>
              <w:rPr>
                <w:rFonts w:ascii="Arial" w:hAnsi="Arial"/>
                <w:sz w:val="22"/>
                <w:szCs w:val="22"/>
              </w:rPr>
              <w:t>-</w:t>
            </w:r>
          </w:p>
        </w:tc>
        <w:tc>
          <w:tcPr>
            <w:tcW w:w="1350" w:type="dxa"/>
          </w:tcPr>
          <w:p w14:paraId="126F995A" w14:textId="77777777" w:rsidR="00E10554" w:rsidRDefault="00E10554" w:rsidP="00BB3E39">
            <w:pPr>
              <w:jc w:val="center"/>
              <w:rPr>
                <w:rFonts w:ascii="Arial" w:hAnsi="Arial"/>
                <w:sz w:val="22"/>
                <w:szCs w:val="22"/>
              </w:rPr>
            </w:pPr>
            <w:r>
              <w:rPr>
                <w:rFonts w:ascii="Arial" w:hAnsi="Arial"/>
                <w:sz w:val="22"/>
                <w:szCs w:val="22"/>
              </w:rPr>
              <w:t>-</w:t>
            </w:r>
          </w:p>
        </w:tc>
        <w:tc>
          <w:tcPr>
            <w:tcW w:w="2340" w:type="dxa"/>
          </w:tcPr>
          <w:p w14:paraId="5E5AC6AB" w14:textId="77777777" w:rsidR="00E10554" w:rsidRDefault="00E10554" w:rsidP="00BB3E39">
            <w:pPr>
              <w:jc w:val="both"/>
              <w:rPr>
                <w:rFonts w:ascii="Arial" w:hAnsi="Arial"/>
                <w:sz w:val="22"/>
                <w:szCs w:val="22"/>
              </w:rPr>
            </w:pPr>
            <w:r>
              <w:rPr>
                <w:rFonts w:ascii="Arial" w:hAnsi="Arial"/>
                <w:sz w:val="22"/>
                <w:szCs w:val="22"/>
              </w:rPr>
              <w:t>Impact highly unlikely</w:t>
            </w:r>
          </w:p>
        </w:tc>
      </w:tr>
      <w:tr w:rsidR="00E10554" w14:paraId="4061EC81" w14:textId="77777777" w:rsidTr="00BB3E39">
        <w:trPr>
          <w:jc w:val="center"/>
        </w:trPr>
        <w:tc>
          <w:tcPr>
            <w:tcW w:w="1207" w:type="dxa"/>
          </w:tcPr>
          <w:p w14:paraId="03FF1E3D" w14:textId="77777777" w:rsidR="00E10554" w:rsidRDefault="00E10554" w:rsidP="00BB3E39">
            <w:pPr>
              <w:jc w:val="center"/>
              <w:rPr>
                <w:rFonts w:ascii="Arial" w:hAnsi="Arial"/>
                <w:sz w:val="22"/>
                <w:szCs w:val="22"/>
              </w:rPr>
            </w:pPr>
            <w:r>
              <w:rPr>
                <w:rFonts w:ascii="Arial" w:hAnsi="Arial"/>
                <w:sz w:val="22"/>
                <w:szCs w:val="22"/>
              </w:rPr>
              <w:t>+</w:t>
            </w:r>
          </w:p>
        </w:tc>
        <w:tc>
          <w:tcPr>
            <w:tcW w:w="1151" w:type="dxa"/>
          </w:tcPr>
          <w:p w14:paraId="6D37B983" w14:textId="77777777" w:rsidR="00E10554" w:rsidRDefault="00E10554" w:rsidP="00BB3E39">
            <w:pPr>
              <w:jc w:val="center"/>
              <w:rPr>
                <w:rFonts w:ascii="Arial" w:hAnsi="Arial"/>
                <w:sz w:val="22"/>
                <w:szCs w:val="22"/>
              </w:rPr>
            </w:pPr>
            <w:r>
              <w:rPr>
                <w:rFonts w:ascii="Arial" w:hAnsi="Arial"/>
                <w:sz w:val="22"/>
                <w:szCs w:val="22"/>
              </w:rPr>
              <w:t>-</w:t>
            </w:r>
          </w:p>
        </w:tc>
        <w:tc>
          <w:tcPr>
            <w:tcW w:w="1350" w:type="dxa"/>
          </w:tcPr>
          <w:p w14:paraId="0DD4CF01" w14:textId="77777777" w:rsidR="00E10554" w:rsidRDefault="00E10554" w:rsidP="00BB3E39">
            <w:pPr>
              <w:jc w:val="center"/>
              <w:rPr>
                <w:rFonts w:ascii="Arial" w:hAnsi="Arial"/>
                <w:sz w:val="22"/>
                <w:szCs w:val="22"/>
              </w:rPr>
            </w:pPr>
            <w:r>
              <w:rPr>
                <w:rFonts w:ascii="Arial" w:hAnsi="Arial"/>
                <w:sz w:val="22"/>
                <w:szCs w:val="22"/>
              </w:rPr>
              <w:t>-</w:t>
            </w:r>
          </w:p>
        </w:tc>
        <w:tc>
          <w:tcPr>
            <w:tcW w:w="2340" w:type="dxa"/>
          </w:tcPr>
          <w:p w14:paraId="381608F2" w14:textId="77777777" w:rsidR="00E10554" w:rsidRDefault="00E10554" w:rsidP="00BB3E39">
            <w:pPr>
              <w:jc w:val="both"/>
              <w:rPr>
                <w:rFonts w:ascii="Arial" w:hAnsi="Arial"/>
                <w:sz w:val="22"/>
                <w:szCs w:val="22"/>
              </w:rPr>
            </w:pPr>
            <w:r>
              <w:rPr>
                <w:rFonts w:ascii="Arial" w:hAnsi="Arial"/>
                <w:sz w:val="22"/>
                <w:szCs w:val="22"/>
              </w:rPr>
              <w:t>Impact unlikely</w:t>
            </w:r>
          </w:p>
        </w:tc>
      </w:tr>
      <w:tr w:rsidR="00E10554" w14:paraId="0FE4F137" w14:textId="77777777" w:rsidTr="00BB3E39">
        <w:trPr>
          <w:jc w:val="center"/>
        </w:trPr>
        <w:tc>
          <w:tcPr>
            <w:tcW w:w="1207" w:type="dxa"/>
          </w:tcPr>
          <w:p w14:paraId="07BADA5F" w14:textId="77777777" w:rsidR="00E10554" w:rsidRDefault="00E10554" w:rsidP="00BB3E39">
            <w:pPr>
              <w:jc w:val="center"/>
              <w:rPr>
                <w:rFonts w:ascii="Arial" w:hAnsi="Arial"/>
                <w:sz w:val="22"/>
                <w:szCs w:val="22"/>
              </w:rPr>
            </w:pPr>
            <w:r>
              <w:rPr>
                <w:rFonts w:ascii="Arial" w:hAnsi="Arial"/>
                <w:sz w:val="22"/>
                <w:szCs w:val="22"/>
              </w:rPr>
              <w:t>-</w:t>
            </w:r>
          </w:p>
        </w:tc>
        <w:tc>
          <w:tcPr>
            <w:tcW w:w="1151" w:type="dxa"/>
          </w:tcPr>
          <w:p w14:paraId="26582942" w14:textId="77777777" w:rsidR="00E10554" w:rsidRDefault="00E10554" w:rsidP="00BB3E39">
            <w:pPr>
              <w:jc w:val="center"/>
              <w:rPr>
                <w:rFonts w:ascii="Arial" w:hAnsi="Arial"/>
                <w:sz w:val="22"/>
                <w:szCs w:val="22"/>
              </w:rPr>
            </w:pPr>
            <w:r>
              <w:rPr>
                <w:rFonts w:ascii="Arial" w:hAnsi="Arial"/>
                <w:sz w:val="22"/>
                <w:szCs w:val="22"/>
              </w:rPr>
              <w:t>+</w:t>
            </w:r>
          </w:p>
        </w:tc>
        <w:tc>
          <w:tcPr>
            <w:tcW w:w="1350" w:type="dxa"/>
          </w:tcPr>
          <w:p w14:paraId="1F338C0A" w14:textId="77777777" w:rsidR="00E10554" w:rsidRDefault="00E10554" w:rsidP="00BB3E39">
            <w:pPr>
              <w:jc w:val="center"/>
              <w:rPr>
                <w:rFonts w:ascii="Arial" w:hAnsi="Arial"/>
                <w:sz w:val="22"/>
                <w:szCs w:val="22"/>
              </w:rPr>
            </w:pPr>
            <w:r>
              <w:rPr>
                <w:rFonts w:ascii="Arial" w:hAnsi="Arial"/>
                <w:sz w:val="22"/>
                <w:szCs w:val="22"/>
              </w:rPr>
              <w:t>-</w:t>
            </w:r>
          </w:p>
        </w:tc>
        <w:tc>
          <w:tcPr>
            <w:tcW w:w="2340" w:type="dxa"/>
          </w:tcPr>
          <w:p w14:paraId="179024EA" w14:textId="77777777" w:rsidR="00E10554" w:rsidRDefault="00E10554" w:rsidP="00BB3E39">
            <w:pPr>
              <w:jc w:val="both"/>
              <w:rPr>
                <w:rFonts w:ascii="Arial" w:hAnsi="Arial"/>
                <w:sz w:val="22"/>
                <w:szCs w:val="22"/>
              </w:rPr>
            </w:pPr>
            <w:r>
              <w:rPr>
                <w:rFonts w:ascii="Arial" w:hAnsi="Arial"/>
                <w:sz w:val="22"/>
                <w:szCs w:val="22"/>
              </w:rPr>
              <w:t>Impacts possible</w:t>
            </w:r>
          </w:p>
        </w:tc>
      </w:tr>
      <w:tr w:rsidR="00E10554" w14:paraId="174DAF01" w14:textId="77777777" w:rsidTr="00BB3E39">
        <w:trPr>
          <w:jc w:val="center"/>
        </w:trPr>
        <w:tc>
          <w:tcPr>
            <w:tcW w:w="1207" w:type="dxa"/>
          </w:tcPr>
          <w:p w14:paraId="5D06740A" w14:textId="77777777" w:rsidR="00E10554" w:rsidRDefault="00E10554" w:rsidP="00BB3E39">
            <w:pPr>
              <w:jc w:val="center"/>
              <w:rPr>
                <w:rFonts w:ascii="Arial" w:hAnsi="Arial"/>
                <w:sz w:val="22"/>
                <w:szCs w:val="22"/>
              </w:rPr>
            </w:pPr>
            <w:r>
              <w:rPr>
                <w:rFonts w:ascii="Arial" w:hAnsi="Arial"/>
                <w:sz w:val="22"/>
                <w:szCs w:val="22"/>
              </w:rPr>
              <w:t>-</w:t>
            </w:r>
          </w:p>
        </w:tc>
        <w:tc>
          <w:tcPr>
            <w:tcW w:w="1151" w:type="dxa"/>
          </w:tcPr>
          <w:p w14:paraId="5B9E9227" w14:textId="77777777" w:rsidR="00E10554" w:rsidRDefault="00E10554" w:rsidP="00BB3E39">
            <w:pPr>
              <w:jc w:val="center"/>
              <w:rPr>
                <w:rFonts w:ascii="Arial" w:hAnsi="Arial"/>
                <w:sz w:val="22"/>
                <w:szCs w:val="22"/>
              </w:rPr>
            </w:pPr>
            <w:r>
              <w:rPr>
                <w:rFonts w:ascii="Arial" w:hAnsi="Arial"/>
                <w:sz w:val="22"/>
                <w:szCs w:val="22"/>
              </w:rPr>
              <w:t>-</w:t>
            </w:r>
          </w:p>
        </w:tc>
        <w:tc>
          <w:tcPr>
            <w:tcW w:w="1350" w:type="dxa"/>
          </w:tcPr>
          <w:p w14:paraId="6D59B8EF" w14:textId="77777777" w:rsidR="00E10554" w:rsidRDefault="00E10554" w:rsidP="00BB3E39">
            <w:pPr>
              <w:jc w:val="center"/>
              <w:rPr>
                <w:rFonts w:ascii="Arial" w:hAnsi="Arial"/>
                <w:sz w:val="22"/>
                <w:szCs w:val="22"/>
              </w:rPr>
            </w:pPr>
            <w:r>
              <w:rPr>
                <w:rFonts w:ascii="Arial" w:hAnsi="Arial"/>
                <w:sz w:val="22"/>
                <w:szCs w:val="22"/>
              </w:rPr>
              <w:t>+</w:t>
            </w:r>
          </w:p>
        </w:tc>
        <w:tc>
          <w:tcPr>
            <w:tcW w:w="2340" w:type="dxa"/>
          </w:tcPr>
          <w:p w14:paraId="26188FB4" w14:textId="77777777" w:rsidR="00E10554" w:rsidRDefault="00E10554" w:rsidP="00BB3E39">
            <w:pPr>
              <w:jc w:val="both"/>
              <w:rPr>
                <w:rFonts w:ascii="Arial" w:hAnsi="Arial"/>
                <w:sz w:val="22"/>
                <w:szCs w:val="22"/>
              </w:rPr>
            </w:pPr>
            <w:r>
              <w:rPr>
                <w:rFonts w:ascii="Arial" w:hAnsi="Arial"/>
                <w:sz w:val="22"/>
                <w:szCs w:val="22"/>
              </w:rPr>
              <w:t>Impacts unlikely</w:t>
            </w:r>
          </w:p>
        </w:tc>
      </w:tr>
      <w:tr w:rsidR="00E10554" w14:paraId="1934C8A2" w14:textId="77777777" w:rsidTr="00BB3E39">
        <w:trPr>
          <w:jc w:val="center"/>
        </w:trPr>
        <w:tc>
          <w:tcPr>
            <w:tcW w:w="1207" w:type="dxa"/>
          </w:tcPr>
          <w:p w14:paraId="1A3F7F33" w14:textId="77777777" w:rsidR="00E10554" w:rsidRDefault="00E10554" w:rsidP="00BB3E39">
            <w:pPr>
              <w:jc w:val="center"/>
              <w:rPr>
                <w:rFonts w:ascii="Arial" w:hAnsi="Arial"/>
                <w:sz w:val="22"/>
                <w:szCs w:val="22"/>
              </w:rPr>
            </w:pPr>
            <w:r>
              <w:rPr>
                <w:rFonts w:ascii="Arial" w:hAnsi="Arial"/>
                <w:sz w:val="22"/>
                <w:szCs w:val="22"/>
              </w:rPr>
              <w:t>+</w:t>
            </w:r>
          </w:p>
        </w:tc>
        <w:tc>
          <w:tcPr>
            <w:tcW w:w="1151" w:type="dxa"/>
          </w:tcPr>
          <w:p w14:paraId="10FF8618" w14:textId="77777777" w:rsidR="00E10554" w:rsidRDefault="00E10554" w:rsidP="00BB3E39">
            <w:pPr>
              <w:jc w:val="center"/>
              <w:rPr>
                <w:rFonts w:ascii="Arial" w:hAnsi="Arial"/>
                <w:sz w:val="22"/>
                <w:szCs w:val="22"/>
              </w:rPr>
            </w:pPr>
            <w:r>
              <w:rPr>
                <w:rFonts w:ascii="Arial" w:hAnsi="Arial"/>
                <w:sz w:val="22"/>
                <w:szCs w:val="22"/>
              </w:rPr>
              <w:t>+</w:t>
            </w:r>
          </w:p>
        </w:tc>
        <w:tc>
          <w:tcPr>
            <w:tcW w:w="1350" w:type="dxa"/>
          </w:tcPr>
          <w:p w14:paraId="35C813E5" w14:textId="77777777" w:rsidR="00E10554" w:rsidRDefault="00E10554" w:rsidP="00BB3E39">
            <w:pPr>
              <w:jc w:val="center"/>
              <w:rPr>
                <w:rFonts w:ascii="Arial" w:hAnsi="Arial"/>
                <w:sz w:val="22"/>
                <w:szCs w:val="22"/>
              </w:rPr>
            </w:pPr>
            <w:r>
              <w:rPr>
                <w:rFonts w:ascii="Arial" w:hAnsi="Arial"/>
                <w:sz w:val="22"/>
                <w:szCs w:val="22"/>
              </w:rPr>
              <w:t>-</w:t>
            </w:r>
          </w:p>
        </w:tc>
        <w:tc>
          <w:tcPr>
            <w:tcW w:w="2340" w:type="dxa"/>
          </w:tcPr>
          <w:p w14:paraId="57B0157A" w14:textId="77777777" w:rsidR="00E10554" w:rsidRDefault="00E10554" w:rsidP="00BB3E39">
            <w:pPr>
              <w:jc w:val="both"/>
              <w:rPr>
                <w:rFonts w:ascii="Arial" w:hAnsi="Arial"/>
                <w:sz w:val="22"/>
                <w:szCs w:val="22"/>
              </w:rPr>
            </w:pPr>
            <w:r>
              <w:rPr>
                <w:rFonts w:ascii="Arial" w:hAnsi="Arial"/>
                <w:sz w:val="22"/>
                <w:szCs w:val="22"/>
              </w:rPr>
              <w:t>Impact likely</w:t>
            </w:r>
          </w:p>
        </w:tc>
      </w:tr>
      <w:tr w:rsidR="00E10554" w14:paraId="2690B201" w14:textId="77777777" w:rsidTr="00BB3E39">
        <w:trPr>
          <w:jc w:val="center"/>
        </w:trPr>
        <w:tc>
          <w:tcPr>
            <w:tcW w:w="1207" w:type="dxa"/>
          </w:tcPr>
          <w:p w14:paraId="1901A421" w14:textId="77777777" w:rsidR="00E10554" w:rsidRDefault="00E10554" w:rsidP="00BB3E39">
            <w:pPr>
              <w:jc w:val="center"/>
              <w:rPr>
                <w:rFonts w:ascii="Arial" w:hAnsi="Arial"/>
                <w:sz w:val="22"/>
                <w:szCs w:val="22"/>
              </w:rPr>
            </w:pPr>
            <w:r>
              <w:rPr>
                <w:rFonts w:ascii="Arial" w:hAnsi="Arial"/>
                <w:sz w:val="22"/>
                <w:szCs w:val="22"/>
              </w:rPr>
              <w:t>-</w:t>
            </w:r>
          </w:p>
        </w:tc>
        <w:tc>
          <w:tcPr>
            <w:tcW w:w="1151" w:type="dxa"/>
          </w:tcPr>
          <w:p w14:paraId="6F023F15" w14:textId="77777777" w:rsidR="00E10554" w:rsidRDefault="00E10554" w:rsidP="00BB3E39">
            <w:pPr>
              <w:jc w:val="center"/>
              <w:rPr>
                <w:rFonts w:ascii="Arial" w:hAnsi="Arial"/>
                <w:sz w:val="22"/>
                <w:szCs w:val="22"/>
              </w:rPr>
            </w:pPr>
            <w:r>
              <w:rPr>
                <w:rFonts w:ascii="Arial" w:hAnsi="Arial"/>
                <w:sz w:val="22"/>
                <w:szCs w:val="22"/>
              </w:rPr>
              <w:t>+</w:t>
            </w:r>
          </w:p>
        </w:tc>
        <w:tc>
          <w:tcPr>
            <w:tcW w:w="1350" w:type="dxa"/>
          </w:tcPr>
          <w:p w14:paraId="443AF234" w14:textId="77777777" w:rsidR="00E10554" w:rsidRDefault="00E10554" w:rsidP="00BB3E39">
            <w:pPr>
              <w:jc w:val="center"/>
              <w:rPr>
                <w:rFonts w:ascii="Arial" w:hAnsi="Arial"/>
                <w:sz w:val="22"/>
                <w:szCs w:val="22"/>
              </w:rPr>
            </w:pPr>
            <w:r>
              <w:rPr>
                <w:rFonts w:ascii="Arial" w:hAnsi="Arial"/>
                <w:sz w:val="22"/>
                <w:szCs w:val="22"/>
              </w:rPr>
              <w:t>+</w:t>
            </w:r>
          </w:p>
        </w:tc>
        <w:tc>
          <w:tcPr>
            <w:tcW w:w="2340" w:type="dxa"/>
          </w:tcPr>
          <w:p w14:paraId="246A8C2F" w14:textId="77777777" w:rsidR="00E10554" w:rsidRDefault="00E10554" w:rsidP="00BB3E39">
            <w:pPr>
              <w:jc w:val="both"/>
              <w:rPr>
                <w:rFonts w:ascii="Arial" w:hAnsi="Arial"/>
                <w:sz w:val="22"/>
                <w:szCs w:val="22"/>
              </w:rPr>
            </w:pPr>
            <w:r>
              <w:rPr>
                <w:rFonts w:ascii="Arial" w:hAnsi="Arial"/>
                <w:sz w:val="22"/>
                <w:szCs w:val="22"/>
              </w:rPr>
              <w:t>Impact likely</w:t>
            </w:r>
          </w:p>
        </w:tc>
      </w:tr>
      <w:tr w:rsidR="00E10554" w14:paraId="20986342" w14:textId="77777777" w:rsidTr="00BB3E39">
        <w:trPr>
          <w:jc w:val="center"/>
        </w:trPr>
        <w:tc>
          <w:tcPr>
            <w:tcW w:w="1207" w:type="dxa"/>
          </w:tcPr>
          <w:p w14:paraId="18099C6B" w14:textId="77777777" w:rsidR="00E10554" w:rsidRDefault="00E10554" w:rsidP="00BB3E39">
            <w:pPr>
              <w:jc w:val="center"/>
              <w:rPr>
                <w:rFonts w:ascii="Arial" w:hAnsi="Arial"/>
                <w:sz w:val="22"/>
                <w:szCs w:val="22"/>
              </w:rPr>
            </w:pPr>
            <w:r>
              <w:rPr>
                <w:rFonts w:ascii="Arial" w:hAnsi="Arial"/>
                <w:sz w:val="22"/>
                <w:szCs w:val="22"/>
              </w:rPr>
              <w:t>+</w:t>
            </w:r>
          </w:p>
        </w:tc>
        <w:tc>
          <w:tcPr>
            <w:tcW w:w="1151" w:type="dxa"/>
          </w:tcPr>
          <w:p w14:paraId="43C2765C" w14:textId="77777777" w:rsidR="00E10554" w:rsidRDefault="00E10554" w:rsidP="00BB3E39">
            <w:pPr>
              <w:jc w:val="center"/>
              <w:rPr>
                <w:rFonts w:ascii="Arial" w:hAnsi="Arial"/>
                <w:sz w:val="22"/>
                <w:szCs w:val="22"/>
              </w:rPr>
            </w:pPr>
            <w:r>
              <w:rPr>
                <w:rFonts w:ascii="Arial" w:hAnsi="Arial"/>
                <w:sz w:val="22"/>
                <w:szCs w:val="22"/>
              </w:rPr>
              <w:t>-</w:t>
            </w:r>
          </w:p>
        </w:tc>
        <w:tc>
          <w:tcPr>
            <w:tcW w:w="1350" w:type="dxa"/>
          </w:tcPr>
          <w:p w14:paraId="164377D3" w14:textId="77777777" w:rsidR="00E10554" w:rsidRDefault="00E10554" w:rsidP="00BB3E39">
            <w:pPr>
              <w:jc w:val="center"/>
              <w:rPr>
                <w:rFonts w:ascii="Arial" w:hAnsi="Arial"/>
                <w:sz w:val="22"/>
                <w:szCs w:val="22"/>
              </w:rPr>
            </w:pPr>
            <w:r>
              <w:rPr>
                <w:rFonts w:ascii="Arial" w:hAnsi="Arial"/>
                <w:sz w:val="22"/>
                <w:szCs w:val="22"/>
              </w:rPr>
              <w:t>+</w:t>
            </w:r>
          </w:p>
        </w:tc>
        <w:tc>
          <w:tcPr>
            <w:tcW w:w="2340" w:type="dxa"/>
          </w:tcPr>
          <w:p w14:paraId="3558894F" w14:textId="77777777" w:rsidR="00E10554" w:rsidRDefault="00E10554" w:rsidP="00BB3E39">
            <w:pPr>
              <w:jc w:val="both"/>
              <w:rPr>
                <w:rFonts w:ascii="Arial" w:hAnsi="Arial"/>
                <w:sz w:val="22"/>
                <w:szCs w:val="22"/>
              </w:rPr>
            </w:pPr>
            <w:r>
              <w:rPr>
                <w:rFonts w:ascii="Arial" w:hAnsi="Arial"/>
                <w:sz w:val="22"/>
                <w:szCs w:val="22"/>
              </w:rPr>
              <w:t>Impact likely</w:t>
            </w:r>
          </w:p>
        </w:tc>
      </w:tr>
    </w:tbl>
    <w:p w14:paraId="1E8751BA" w14:textId="05C1212B" w:rsidR="00762147" w:rsidRPr="003F1649" w:rsidRDefault="003F1649" w:rsidP="001E2473">
      <w:pPr>
        <w:jc w:val="both"/>
        <w:rPr>
          <w:rFonts w:ascii="Arial" w:hAnsi="Arial"/>
          <w:i/>
          <w:sz w:val="18"/>
          <w:szCs w:val="18"/>
        </w:rPr>
      </w:pPr>
      <w:r>
        <w:rPr>
          <w:rFonts w:ascii="Arial" w:hAnsi="Arial"/>
          <w:sz w:val="22"/>
          <w:szCs w:val="22"/>
        </w:rPr>
        <w:tab/>
      </w:r>
      <w:r w:rsidRPr="003F1649">
        <w:rPr>
          <w:rFonts w:ascii="Arial" w:hAnsi="Arial"/>
          <w:i/>
          <w:sz w:val="18"/>
          <w:szCs w:val="18"/>
        </w:rPr>
        <w:t xml:space="preserve">         </w:t>
      </w:r>
      <w:r>
        <w:rPr>
          <w:rFonts w:ascii="Arial" w:hAnsi="Arial"/>
          <w:i/>
          <w:sz w:val="18"/>
          <w:szCs w:val="18"/>
        </w:rPr>
        <w:t xml:space="preserve">  source: </w:t>
      </w:r>
      <w:r w:rsidRPr="003F1649">
        <w:rPr>
          <w:rFonts w:ascii="Arial" w:hAnsi="Arial"/>
          <w:i/>
          <w:sz w:val="18"/>
          <w:szCs w:val="18"/>
        </w:rPr>
        <w:t>(MacDonald and Ingersoll, 2002)</w:t>
      </w:r>
    </w:p>
    <w:p w14:paraId="259DD68E" w14:textId="77777777" w:rsidR="003F1649" w:rsidRPr="00EC4C72" w:rsidRDefault="003F1649" w:rsidP="001E2473">
      <w:pPr>
        <w:jc w:val="both"/>
        <w:rPr>
          <w:rFonts w:ascii="Arial" w:hAnsi="Arial"/>
          <w:sz w:val="22"/>
          <w:szCs w:val="22"/>
          <w:highlight w:val="yellow"/>
        </w:rPr>
      </w:pPr>
    </w:p>
    <w:p w14:paraId="4857183F" w14:textId="77777777" w:rsidR="00E560C8" w:rsidRDefault="00485AED" w:rsidP="001E2473">
      <w:pPr>
        <w:jc w:val="both"/>
        <w:rPr>
          <w:rFonts w:ascii="Arial" w:hAnsi="Arial"/>
          <w:b/>
          <w:sz w:val="22"/>
          <w:szCs w:val="22"/>
        </w:rPr>
      </w:pPr>
      <w:r w:rsidRPr="00D24581">
        <w:rPr>
          <w:rFonts w:ascii="Arial" w:hAnsi="Arial"/>
          <w:b/>
          <w:sz w:val="22"/>
          <w:szCs w:val="22"/>
        </w:rPr>
        <w:t>6.</w:t>
      </w:r>
      <w:r w:rsidR="00E560C8" w:rsidRPr="00D24581">
        <w:rPr>
          <w:rFonts w:ascii="Arial" w:hAnsi="Arial"/>
          <w:b/>
          <w:sz w:val="22"/>
          <w:szCs w:val="22"/>
        </w:rPr>
        <w:t xml:space="preserve"> Uncertainty Analysis</w:t>
      </w:r>
      <w:r w:rsidR="00220D74" w:rsidRPr="00485AED">
        <w:rPr>
          <w:rFonts w:ascii="Arial" w:hAnsi="Arial"/>
          <w:b/>
          <w:sz w:val="22"/>
          <w:szCs w:val="22"/>
        </w:rPr>
        <w:t xml:space="preserve"> </w:t>
      </w:r>
    </w:p>
    <w:p w14:paraId="504A1442" w14:textId="77777777" w:rsidR="00AF1D4A" w:rsidRDefault="00AF1D4A" w:rsidP="001E2473">
      <w:pPr>
        <w:jc w:val="both"/>
        <w:rPr>
          <w:rFonts w:ascii="Arial" w:hAnsi="Arial"/>
          <w:b/>
          <w:sz w:val="22"/>
          <w:szCs w:val="22"/>
        </w:rPr>
      </w:pPr>
    </w:p>
    <w:p w14:paraId="44F80CFB" w14:textId="77777777" w:rsidR="0044679B" w:rsidRDefault="00AF1D4A" w:rsidP="001E2473">
      <w:pPr>
        <w:jc w:val="both"/>
        <w:rPr>
          <w:rFonts w:ascii="Arial" w:hAnsi="Arial"/>
          <w:sz w:val="22"/>
          <w:szCs w:val="22"/>
        </w:rPr>
      </w:pPr>
      <w:r>
        <w:rPr>
          <w:rFonts w:ascii="Arial" w:hAnsi="Arial"/>
          <w:sz w:val="22"/>
          <w:szCs w:val="22"/>
        </w:rPr>
        <w:tab/>
      </w:r>
      <w:r w:rsidR="0044679B">
        <w:rPr>
          <w:rFonts w:ascii="Arial" w:hAnsi="Arial"/>
          <w:sz w:val="22"/>
          <w:szCs w:val="22"/>
        </w:rPr>
        <w:t xml:space="preserve">Uncertainty should be addressed and analyzed for all phases of the ecological risk assessment.  </w:t>
      </w:r>
      <w:r w:rsidR="0003277C">
        <w:rPr>
          <w:rFonts w:ascii="Arial" w:hAnsi="Arial"/>
          <w:sz w:val="22"/>
          <w:szCs w:val="22"/>
        </w:rPr>
        <w:t xml:space="preserve">The uncertainty analysis summarizes the assumptions utilized for the assessment and evaluates the validity of those assumptions.  When possible, the uncertainty in the risk estimate should be quantitatively evaluated using alternate risk calculations.  </w:t>
      </w:r>
      <w:r w:rsidR="0044679B">
        <w:rPr>
          <w:rFonts w:ascii="Arial" w:hAnsi="Arial"/>
          <w:sz w:val="22"/>
          <w:szCs w:val="22"/>
        </w:rPr>
        <w:t>Major sources of uncertainty include:</w:t>
      </w:r>
    </w:p>
    <w:p w14:paraId="7B16CD53" w14:textId="77777777" w:rsidR="0044679B" w:rsidRDefault="0044679B" w:rsidP="001E2473">
      <w:pPr>
        <w:jc w:val="both"/>
        <w:rPr>
          <w:rFonts w:ascii="Arial" w:hAnsi="Arial"/>
          <w:sz w:val="22"/>
          <w:szCs w:val="22"/>
        </w:rPr>
      </w:pPr>
    </w:p>
    <w:p w14:paraId="34CFE8AE" w14:textId="77777777" w:rsidR="00AF1D4A" w:rsidRDefault="0044679B" w:rsidP="0044679B">
      <w:pPr>
        <w:pStyle w:val="ListParagraph"/>
        <w:numPr>
          <w:ilvl w:val="0"/>
          <w:numId w:val="20"/>
        </w:numPr>
        <w:jc w:val="both"/>
        <w:rPr>
          <w:rFonts w:ascii="Arial" w:hAnsi="Arial"/>
          <w:sz w:val="22"/>
          <w:szCs w:val="22"/>
        </w:rPr>
      </w:pPr>
      <w:r>
        <w:rPr>
          <w:rFonts w:ascii="Arial" w:hAnsi="Arial"/>
          <w:sz w:val="22"/>
          <w:szCs w:val="22"/>
        </w:rPr>
        <w:t>Conceptual site model – exposure pathways, chemicals or concern, exposed ecological receptors</w:t>
      </w:r>
    </w:p>
    <w:p w14:paraId="271E3B0C" w14:textId="77777777" w:rsidR="0044679B" w:rsidRDefault="0044679B" w:rsidP="0044679B">
      <w:pPr>
        <w:pStyle w:val="ListParagraph"/>
        <w:numPr>
          <w:ilvl w:val="0"/>
          <w:numId w:val="20"/>
        </w:numPr>
        <w:jc w:val="both"/>
        <w:rPr>
          <w:rFonts w:ascii="Arial" w:hAnsi="Arial"/>
          <w:sz w:val="22"/>
          <w:szCs w:val="22"/>
        </w:rPr>
      </w:pPr>
      <w:r>
        <w:rPr>
          <w:rFonts w:ascii="Arial" w:hAnsi="Arial"/>
          <w:sz w:val="22"/>
          <w:szCs w:val="22"/>
        </w:rPr>
        <w:t>Incomplete or missing data – causes parameter uncertainty when estimating chemical concentrations or exposure factors</w:t>
      </w:r>
    </w:p>
    <w:p w14:paraId="4DCBFB0C" w14:textId="77777777" w:rsidR="0044679B" w:rsidRDefault="0044679B" w:rsidP="0044679B">
      <w:pPr>
        <w:pStyle w:val="ListParagraph"/>
        <w:numPr>
          <w:ilvl w:val="0"/>
          <w:numId w:val="20"/>
        </w:numPr>
        <w:jc w:val="both"/>
        <w:rPr>
          <w:rFonts w:ascii="Arial" w:hAnsi="Arial"/>
          <w:sz w:val="22"/>
          <w:szCs w:val="22"/>
        </w:rPr>
      </w:pPr>
      <w:r>
        <w:rPr>
          <w:rFonts w:ascii="Arial" w:hAnsi="Arial"/>
          <w:sz w:val="22"/>
          <w:szCs w:val="22"/>
        </w:rPr>
        <w:t xml:space="preserve">Modeling/extrapolation – modeling and extrapolation may not </w:t>
      </w:r>
      <w:r w:rsidR="0026306C">
        <w:rPr>
          <w:rFonts w:ascii="Arial" w:hAnsi="Arial"/>
          <w:sz w:val="22"/>
          <w:szCs w:val="22"/>
        </w:rPr>
        <w:t>represent</w:t>
      </w:r>
      <w:r>
        <w:rPr>
          <w:rFonts w:ascii="Arial" w:hAnsi="Arial"/>
          <w:sz w:val="22"/>
          <w:szCs w:val="22"/>
        </w:rPr>
        <w:t xml:space="preserve"> site-specific conditions.</w:t>
      </w:r>
    </w:p>
    <w:p w14:paraId="256AE456" w14:textId="77777777" w:rsidR="0044679B" w:rsidRPr="0044679B" w:rsidRDefault="0044679B" w:rsidP="0044679B">
      <w:pPr>
        <w:pStyle w:val="ListParagraph"/>
        <w:numPr>
          <w:ilvl w:val="0"/>
          <w:numId w:val="20"/>
        </w:numPr>
        <w:jc w:val="both"/>
        <w:rPr>
          <w:rFonts w:ascii="Arial" w:hAnsi="Arial"/>
          <w:sz w:val="22"/>
          <w:szCs w:val="22"/>
        </w:rPr>
      </w:pPr>
      <w:r>
        <w:rPr>
          <w:rFonts w:ascii="Arial" w:hAnsi="Arial"/>
          <w:sz w:val="22"/>
          <w:szCs w:val="22"/>
        </w:rPr>
        <w:t>Sampling and laboratory error</w:t>
      </w:r>
    </w:p>
    <w:p w14:paraId="10C67D14" w14:textId="77777777" w:rsidR="00215D66" w:rsidRDefault="00215D66" w:rsidP="00215D66">
      <w:pPr>
        <w:pStyle w:val="ListParagraph"/>
        <w:ind w:left="1440"/>
        <w:rPr>
          <w:rFonts w:ascii="Arial" w:hAnsi="Arial"/>
          <w:sz w:val="22"/>
          <w:szCs w:val="22"/>
        </w:rPr>
      </w:pPr>
    </w:p>
    <w:p w14:paraId="29B926D5" w14:textId="77777777" w:rsidR="00322901" w:rsidRPr="00CA5A51" w:rsidRDefault="00485AED">
      <w:pPr>
        <w:rPr>
          <w:rFonts w:ascii="Arial" w:hAnsi="Arial"/>
          <w:b/>
          <w:sz w:val="22"/>
          <w:szCs w:val="22"/>
        </w:rPr>
      </w:pPr>
      <w:r>
        <w:rPr>
          <w:rFonts w:ascii="Arial" w:hAnsi="Arial"/>
          <w:b/>
          <w:sz w:val="22"/>
          <w:szCs w:val="22"/>
        </w:rPr>
        <w:t>7</w:t>
      </w:r>
      <w:r w:rsidR="00CA5A51">
        <w:rPr>
          <w:rFonts w:ascii="Arial" w:hAnsi="Arial"/>
          <w:b/>
          <w:sz w:val="22"/>
          <w:szCs w:val="22"/>
        </w:rPr>
        <w:t>. References</w:t>
      </w:r>
    </w:p>
    <w:p w14:paraId="3F13868E" w14:textId="77777777" w:rsidR="00F64CED" w:rsidRDefault="00F64CED">
      <w:pPr>
        <w:rPr>
          <w:rFonts w:ascii="Arial" w:hAnsi="Arial"/>
          <w:sz w:val="22"/>
          <w:szCs w:val="22"/>
        </w:rPr>
      </w:pPr>
    </w:p>
    <w:p w14:paraId="6B1DD2DF" w14:textId="77777777" w:rsidR="00F64CED" w:rsidRDefault="00F64CED" w:rsidP="000375F2">
      <w:pPr>
        <w:ind w:left="540" w:hanging="540"/>
        <w:jc w:val="both"/>
        <w:rPr>
          <w:rFonts w:ascii="Arial" w:hAnsi="Arial"/>
          <w:sz w:val="22"/>
          <w:szCs w:val="22"/>
        </w:rPr>
      </w:pPr>
      <w:r>
        <w:rPr>
          <w:rFonts w:ascii="Arial" w:hAnsi="Arial"/>
          <w:sz w:val="22"/>
          <w:szCs w:val="22"/>
        </w:rPr>
        <w:t xml:space="preserve">ASTM (2009) </w:t>
      </w:r>
      <w:r>
        <w:rPr>
          <w:rFonts w:ascii="Arial" w:hAnsi="Arial"/>
          <w:i/>
          <w:sz w:val="22"/>
          <w:szCs w:val="22"/>
        </w:rPr>
        <w:t>Standard Guide for Risk-Based Corrective Action for Protection of Ecological Resources.</w:t>
      </w:r>
      <w:r>
        <w:rPr>
          <w:rFonts w:ascii="Arial" w:hAnsi="Arial"/>
          <w:sz w:val="22"/>
          <w:szCs w:val="22"/>
        </w:rPr>
        <w:t xml:space="preserve"> West Conshohocken, PA, E2205/E2205M-02 (Reapproved 2009).</w:t>
      </w:r>
    </w:p>
    <w:p w14:paraId="722F9451" w14:textId="77777777" w:rsidR="007D6BB0" w:rsidRDefault="007D6BB0" w:rsidP="000375F2">
      <w:pPr>
        <w:ind w:left="540" w:hanging="540"/>
        <w:jc w:val="both"/>
        <w:rPr>
          <w:rFonts w:ascii="Arial" w:hAnsi="Arial"/>
          <w:sz w:val="22"/>
          <w:szCs w:val="22"/>
        </w:rPr>
      </w:pPr>
    </w:p>
    <w:p w14:paraId="2659E96E" w14:textId="77777777" w:rsidR="008E7868" w:rsidRDefault="008E7868" w:rsidP="000375F2">
      <w:pPr>
        <w:ind w:left="540" w:hanging="540"/>
        <w:jc w:val="both"/>
        <w:rPr>
          <w:rFonts w:ascii="Arial" w:hAnsi="Arial"/>
          <w:sz w:val="22"/>
          <w:szCs w:val="22"/>
        </w:rPr>
      </w:pPr>
      <w:r>
        <w:rPr>
          <w:rFonts w:ascii="Arial" w:hAnsi="Arial"/>
          <w:sz w:val="22"/>
          <w:szCs w:val="22"/>
        </w:rPr>
        <w:t xml:space="preserve">California Environmental Protection Agency (CalEPA) (2009) </w:t>
      </w:r>
      <w:r>
        <w:rPr>
          <w:rFonts w:ascii="Arial" w:hAnsi="Arial"/>
          <w:i/>
          <w:sz w:val="22"/>
          <w:szCs w:val="22"/>
        </w:rPr>
        <w:t xml:space="preserve">Soil Toxicity and Bioassessment Test Methods for Ecological Risk Assessment.  </w:t>
      </w:r>
      <w:r>
        <w:rPr>
          <w:rFonts w:ascii="Arial" w:hAnsi="Arial"/>
          <w:sz w:val="22"/>
          <w:szCs w:val="22"/>
        </w:rPr>
        <w:t>Integrated Risk Assessment Branch, Office of Environmental Health Hazard Assessment.</w:t>
      </w:r>
    </w:p>
    <w:p w14:paraId="385F95BE" w14:textId="77777777" w:rsidR="00EE0FA4" w:rsidRDefault="00EE0FA4" w:rsidP="000375F2">
      <w:pPr>
        <w:ind w:left="540" w:hanging="540"/>
        <w:jc w:val="both"/>
        <w:rPr>
          <w:rFonts w:ascii="Arial" w:hAnsi="Arial"/>
          <w:sz w:val="22"/>
          <w:szCs w:val="22"/>
        </w:rPr>
      </w:pPr>
    </w:p>
    <w:p w14:paraId="46007BCE" w14:textId="47745C69" w:rsidR="00EE0FA4" w:rsidRPr="00EE0FA4" w:rsidRDefault="00EE0FA4" w:rsidP="000375F2">
      <w:pPr>
        <w:ind w:left="540" w:hanging="540"/>
        <w:jc w:val="both"/>
        <w:rPr>
          <w:rFonts w:ascii="Arial" w:hAnsi="Arial"/>
          <w:sz w:val="22"/>
          <w:szCs w:val="22"/>
        </w:rPr>
      </w:pPr>
      <w:r>
        <w:rPr>
          <w:rFonts w:ascii="Arial" w:hAnsi="Arial"/>
          <w:sz w:val="22"/>
          <w:szCs w:val="22"/>
        </w:rPr>
        <w:t xml:space="preserve">Canadian Council of Ministers of the Environment (CCME) (2010) </w:t>
      </w:r>
      <w:r>
        <w:rPr>
          <w:rFonts w:ascii="Arial" w:hAnsi="Arial"/>
          <w:i/>
          <w:sz w:val="22"/>
          <w:szCs w:val="22"/>
        </w:rPr>
        <w:t xml:space="preserve">Canadian Water Quality Guidelines for the Protection of Aquatic Life: Endosulfan.  </w:t>
      </w:r>
    </w:p>
    <w:p w14:paraId="625CDA21" w14:textId="77777777" w:rsidR="008E7868" w:rsidRDefault="008E7868" w:rsidP="000375F2">
      <w:pPr>
        <w:ind w:left="540" w:hanging="540"/>
        <w:jc w:val="both"/>
        <w:rPr>
          <w:rFonts w:ascii="Arial" w:hAnsi="Arial"/>
          <w:sz w:val="22"/>
          <w:szCs w:val="22"/>
        </w:rPr>
      </w:pPr>
    </w:p>
    <w:p w14:paraId="1F291488" w14:textId="77777777" w:rsidR="00C644B5" w:rsidRPr="00181705" w:rsidRDefault="00C644B5" w:rsidP="000375F2">
      <w:pPr>
        <w:ind w:left="540" w:hanging="540"/>
        <w:jc w:val="both"/>
        <w:rPr>
          <w:rFonts w:ascii="Arial" w:hAnsi="Arial"/>
          <w:sz w:val="22"/>
          <w:szCs w:val="22"/>
        </w:rPr>
      </w:pPr>
      <w:r>
        <w:rPr>
          <w:rFonts w:ascii="Arial" w:hAnsi="Arial"/>
          <w:sz w:val="22"/>
          <w:szCs w:val="22"/>
        </w:rPr>
        <w:t>CHPPM (2000)</w:t>
      </w:r>
      <w:r w:rsidR="00181705">
        <w:rPr>
          <w:rFonts w:ascii="Arial" w:hAnsi="Arial"/>
          <w:sz w:val="22"/>
          <w:szCs w:val="22"/>
        </w:rPr>
        <w:t xml:space="preserve"> </w:t>
      </w:r>
      <w:r w:rsidR="00181705">
        <w:rPr>
          <w:rFonts w:ascii="Arial" w:hAnsi="Arial"/>
          <w:i/>
          <w:sz w:val="22"/>
          <w:szCs w:val="22"/>
        </w:rPr>
        <w:t xml:space="preserve">Standard Practice for Wildlife Toxicity Reference Values.  </w:t>
      </w:r>
      <w:r w:rsidR="00181705">
        <w:rPr>
          <w:rFonts w:ascii="Arial" w:hAnsi="Arial"/>
          <w:sz w:val="22"/>
          <w:szCs w:val="22"/>
        </w:rPr>
        <w:t>Environmental Health Risk Assessment Program, Health Effects Research Program, Technical Guide No. 254, Aberdeen Proving Ground, MD.</w:t>
      </w:r>
    </w:p>
    <w:p w14:paraId="06057881" w14:textId="77777777" w:rsidR="00C644B5" w:rsidRDefault="00C644B5" w:rsidP="000375F2">
      <w:pPr>
        <w:ind w:left="540" w:hanging="540"/>
        <w:jc w:val="both"/>
        <w:rPr>
          <w:rFonts w:ascii="Arial" w:hAnsi="Arial"/>
          <w:sz w:val="22"/>
          <w:szCs w:val="22"/>
        </w:rPr>
      </w:pPr>
    </w:p>
    <w:p w14:paraId="1AECB133" w14:textId="77777777" w:rsidR="00467C3F" w:rsidRDefault="00467C3F" w:rsidP="000375F2">
      <w:pPr>
        <w:ind w:left="540" w:hanging="540"/>
        <w:jc w:val="both"/>
        <w:rPr>
          <w:rFonts w:ascii="Arial" w:hAnsi="Arial"/>
          <w:sz w:val="22"/>
          <w:szCs w:val="22"/>
        </w:rPr>
      </w:pPr>
      <w:r>
        <w:rPr>
          <w:rFonts w:ascii="Arial" w:hAnsi="Arial"/>
          <w:sz w:val="22"/>
          <w:szCs w:val="22"/>
        </w:rPr>
        <w:t xml:space="preserve">HydroQual, Inc. (2007) </w:t>
      </w:r>
      <w:r>
        <w:rPr>
          <w:rFonts w:ascii="Arial" w:hAnsi="Arial"/>
          <w:i/>
          <w:sz w:val="22"/>
          <w:szCs w:val="22"/>
        </w:rPr>
        <w:t>Biotic Ligand Model, User’s Guide and Reference Manual.</w:t>
      </w:r>
      <w:r>
        <w:rPr>
          <w:rFonts w:ascii="Arial" w:hAnsi="Arial"/>
          <w:sz w:val="22"/>
          <w:szCs w:val="22"/>
        </w:rPr>
        <w:t xml:space="preserve">  Mahwah, NJ.</w:t>
      </w:r>
    </w:p>
    <w:p w14:paraId="0556BE2F" w14:textId="77777777" w:rsidR="001665ED" w:rsidRDefault="001665ED" w:rsidP="000375F2">
      <w:pPr>
        <w:ind w:left="540" w:hanging="540"/>
        <w:jc w:val="both"/>
        <w:rPr>
          <w:rFonts w:ascii="Arial" w:hAnsi="Arial"/>
          <w:sz w:val="22"/>
          <w:szCs w:val="22"/>
        </w:rPr>
      </w:pPr>
    </w:p>
    <w:p w14:paraId="6BCABD94" w14:textId="77777777" w:rsidR="001665ED" w:rsidRPr="001665ED" w:rsidRDefault="001665ED" w:rsidP="000375F2">
      <w:pPr>
        <w:ind w:left="540" w:hanging="540"/>
        <w:jc w:val="both"/>
        <w:rPr>
          <w:rFonts w:ascii="Arial" w:hAnsi="Arial"/>
          <w:sz w:val="22"/>
          <w:szCs w:val="22"/>
        </w:rPr>
      </w:pPr>
      <w:r>
        <w:rPr>
          <w:rFonts w:ascii="Arial" w:hAnsi="Arial"/>
          <w:sz w:val="22"/>
          <w:szCs w:val="22"/>
        </w:rPr>
        <w:lastRenderedPageBreak/>
        <w:t xml:space="preserve">ITRC (2011) </w:t>
      </w:r>
      <w:r>
        <w:rPr>
          <w:rFonts w:ascii="Arial" w:hAnsi="Arial"/>
          <w:i/>
          <w:sz w:val="22"/>
          <w:szCs w:val="22"/>
        </w:rPr>
        <w:t xml:space="preserve">Incorporating Bioavailability Considerations into the Evaluation of Contaminated Sediment Sites.  </w:t>
      </w:r>
      <w:r>
        <w:rPr>
          <w:rFonts w:ascii="Arial" w:hAnsi="Arial"/>
          <w:sz w:val="22"/>
          <w:szCs w:val="22"/>
        </w:rPr>
        <w:t xml:space="preserve">Interstate Technology &amp; Regulatory Council, Contaminated Sediments Team, Washington, DC.   </w:t>
      </w:r>
    </w:p>
    <w:p w14:paraId="5BD7D2EC" w14:textId="77777777" w:rsidR="00467C3F" w:rsidRDefault="00467C3F" w:rsidP="000375F2">
      <w:pPr>
        <w:ind w:left="540" w:hanging="540"/>
        <w:jc w:val="both"/>
        <w:rPr>
          <w:rFonts w:ascii="Arial" w:hAnsi="Arial"/>
          <w:sz w:val="22"/>
          <w:szCs w:val="22"/>
        </w:rPr>
      </w:pPr>
    </w:p>
    <w:p w14:paraId="4AB32C52" w14:textId="721677BE" w:rsidR="006C627C" w:rsidRDefault="00254385" w:rsidP="000612AD">
      <w:pPr>
        <w:ind w:left="540" w:hanging="540"/>
        <w:jc w:val="both"/>
        <w:rPr>
          <w:rFonts w:ascii="Arial" w:hAnsi="Arial"/>
          <w:sz w:val="22"/>
          <w:szCs w:val="22"/>
        </w:rPr>
      </w:pPr>
      <w:r>
        <w:rPr>
          <w:rFonts w:ascii="Arial" w:hAnsi="Arial"/>
          <w:sz w:val="22"/>
          <w:szCs w:val="22"/>
        </w:rPr>
        <w:t xml:space="preserve">MacDonald, D.D. and Ingersoll, C.G. (2002) </w:t>
      </w:r>
      <w:r>
        <w:rPr>
          <w:rFonts w:ascii="Arial" w:hAnsi="Arial"/>
          <w:i/>
          <w:sz w:val="22"/>
          <w:szCs w:val="22"/>
        </w:rPr>
        <w:t>A Guidance Manual to Support the Assessment of Contaminated Sediments in Freshwater Ecosystems, Volume III – Interpretation of the Results of Sediment Quality Investigations.</w:t>
      </w:r>
      <w:r>
        <w:rPr>
          <w:rFonts w:ascii="Arial" w:hAnsi="Arial"/>
          <w:sz w:val="22"/>
          <w:szCs w:val="22"/>
        </w:rPr>
        <w:t xml:space="preserve">  US Environmental Protection Agency, Great Lakes National Program Office, Chicago, IL, EPA-905-B02-001-C.</w:t>
      </w:r>
    </w:p>
    <w:p w14:paraId="49FEF86E" w14:textId="77777777" w:rsidR="00A40391" w:rsidRDefault="00A40391" w:rsidP="00254385">
      <w:pPr>
        <w:ind w:left="540" w:hanging="540"/>
        <w:jc w:val="both"/>
        <w:rPr>
          <w:rFonts w:ascii="Arial" w:hAnsi="Arial"/>
          <w:sz w:val="22"/>
          <w:szCs w:val="22"/>
        </w:rPr>
      </w:pPr>
    </w:p>
    <w:p w14:paraId="56B82F5D" w14:textId="2BDDBA3A" w:rsidR="006C627C" w:rsidRPr="006C627C" w:rsidRDefault="006C627C" w:rsidP="00254385">
      <w:pPr>
        <w:ind w:left="540" w:hanging="540"/>
        <w:jc w:val="both"/>
        <w:rPr>
          <w:rFonts w:ascii="Arial" w:hAnsi="Arial"/>
          <w:sz w:val="22"/>
          <w:szCs w:val="22"/>
        </w:rPr>
      </w:pPr>
      <w:r>
        <w:rPr>
          <w:rFonts w:ascii="Arial" w:hAnsi="Arial"/>
          <w:sz w:val="22"/>
          <w:szCs w:val="22"/>
        </w:rPr>
        <w:t xml:space="preserve">Ohio Environmental Protection Agency (OEPA) (2008) </w:t>
      </w:r>
      <w:r>
        <w:rPr>
          <w:rFonts w:ascii="Arial" w:hAnsi="Arial"/>
          <w:i/>
          <w:sz w:val="22"/>
          <w:szCs w:val="22"/>
        </w:rPr>
        <w:t>Ecological Risk Assessment Guidance Document.</w:t>
      </w:r>
      <w:r>
        <w:rPr>
          <w:rFonts w:ascii="Arial" w:hAnsi="Arial"/>
          <w:sz w:val="22"/>
          <w:szCs w:val="22"/>
        </w:rPr>
        <w:t xml:space="preserve"> Division of Environmental Response and Revitalization, Columbus, OH.</w:t>
      </w:r>
    </w:p>
    <w:p w14:paraId="4431F75E" w14:textId="77777777" w:rsidR="00254385" w:rsidRPr="00E307D2" w:rsidRDefault="00254385" w:rsidP="00254385">
      <w:pPr>
        <w:jc w:val="both"/>
        <w:rPr>
          <w:rFonts w:ascii="Arial" w:hAnsi="Arial"/>
          <w:sz w:val="22"/>
          <w:szCs w:val="22"/>
        </w:rPr>
      </w:pPr>
    </w:p>
    <w:p w14:paraId="4BEBAD63" w14:textId="77777777" w:rsidR="007D6BB0" w:rsidRDefault="007D6BB0" w:rsidP="000375F2">
      <w:pPr>
        <w:ind w:left="540" w:hanging="540"/>
        <w:jc w:val="both"/>
        <w:rPr>
          <w:rFonts w:ascii="Arial" w:hAnsi="Arial"/>
          <w:i/>
          <w:sz w:val="22"/>
          <w:szCs w:val="22"/>
        </w:rPr>
      </w:pPr>
      <w:r>
        <w:rPr>
          <w:rFonts w:ascii="Arial" w:hAnsi="Arial"/>
          <w:sz w:val="22"/>
          <w:szCs w:val="22"/>
        </w:rPr>
        <w:t xml:space="preserve">Simini, M., Checkai, R.T., and Maly, M.E. (2000) </w:t>
      </w:r>
      <w:r>
        <w:rPr>
          <w:rFonts w:ascii="Arial" w:hAnsi="Arial"/>
          <w:i/>
          <w:sz w:val="22"/>
          <w:szCs w:val="22"/>
        </w:rPr>
        <w:t xml:space="preserve">Tri-Service Remedial Project Manager’s Handbook for Ecological Risk Assessment.  </w:t>
      </w:r>
    </w:p>
    <w:p w14:paraId="2B679073" w14:textId="77777777" w:rsidR="00145857" w:rsidRDefault="00145857" w:rsidP="000375F2">
      <w:pPr>
        <w:ind w:left="540" w:hanging="540"/>
        <w:jc w:val="both"/>
        <w:rPr>
          <w:rFonts w:ascii="Arial" w:hAnsi="Arial"/>
          <w:i/>
          <w:sz w:val="22"/>
          <w:szCs w:val="22"/>
        </w:rPr>
      </w:pPr>
    </w:p>
    <w:p w14:paraId="3F1D4B51" w14:textId="77777777" w:rsidR="00145857" w:rsidRPr="00145857" w:rsidRDefault="00145857" w:rsidP="000375F2">
      <w:pPr>
        <w:ind w:left="540" w:hanging="540"/>
        <w:jc w:val="both"/>
        <w:rPr>
          <w:rFonts w:ascii="Arial" w:hAnsi="Arial"/>
          <w:sz w:val="22"/>
          <w:szCs w:val="22"/>
        </w:rPr>
      </w:pPr>
      <w:r>
        <w:rPr>
          <w:rFonts w:ascii="Arial" w:hAnsi="Arial"/>
          <w:sz w:val="22"/>
          <w:szCs w:val="22"/>
        </w:rPr>
        <w:t xml:space="preserve">Suter II, G.W., ed. (2007) </w:t>
      </w:r>
      <w:r>
        <w:rPr>
          <w:rFonts w:ascii="Arial" w:hAnsi="Arial"/>
          <w:i/>
          <w:sz w:val="22"/>
          <w:szCs w:val="22"/>
        </w:rPr>
        <w:t xml:space="preserve">Ecological Risk Assessment.  </w:t>
      </w:r>
      <w:r>
        <w:rPr>
          <w:rFonts w:ascii="Arial" w:hAnsi="Arial"/>
          <w:sz w:val="22"/>
          <w:szCs w:val="22"/>
        </w:rPr>
        <w:t>Second edition, CRC Press, Boca Raton, FL, pg. 347-356.</w:t>
      </w:r>
    </w:p>
    <w:p w14:paraId="61DF3D76" w14:textId="77777777" w:rsidR="00F64CED" w:rsidRDefault="00F64CED" w:rsidP="000375F2">
      <w:pPr>
        <w:ind w:left="540" w:hanging="540"/>
        <w:jc w:val="both"/>
        <w:rPr>
          <w:rFonts w:ascii="Arial" w:hAnsi="Arial"/>
          <w:sz w:val="22"/>
          <w:szCs w:val="22"/>
        </w:rPr>
      </w:pPr>
    </w:p>
    <w:p w14:paraId="4C45CC4E" w14:textId="77777777" w:rsidR="007728F2" w:rsidRPr="001A2A9A" w:rsidRDefault="007728F2" w:rsidP="000375F2">
      <w:pPr>
        <w:ind w:left="540" w:hanging="540"/>
        <w:jc w:val="both"/>
        <w:rPr>
          <w:rFonts w:ascii="Arial" w:hAnsi="Arial"/>
          <w:sz w:val="22"/>
          <w:szCs w:val="22"/>
        </w:rPr>
      </w:pPr>
      <w:r>
        <w:rPr>
          <w:rFonts w:ascii="Arial" w:hAnsi="Arial"/>
          <w:sz w:val="22"/>
          <w:szCs w:val="22"/>
        </w:rPr>
        <w:t xml:space="preserve">US ACE (2011) </w:t>
      </w:r>
      <w:r w:rsidR="001A2A9A">
        <w:rPr>
          <w:rFonts w:ascii="Arial" w:hAnsi="Arial"/>
          <w:i/>
          <w:sz w:val="22"/>
          <w:szCs w:val="22"/>
        </w:rPr>
        <w:t>Tri-Service Position Paper on Background Levels in Risk Assessment.</w:t>
      </w:r>
      <w:r w:rsidR="001A2A9A">
        <w:rPr>
          <w:rFonts w:ascii="Arial" w:hAnsi="Arial"/>
          <w:sz w:val="22"/>
          <w:szCs w:val="22"/>
        </w:rPr>
        <w:t xml:space="preserve">  Environmental and Munitions Center of Expertise, Omaha, NE.</w:t>
      </w:r>
    </w:p>
    <w:p w14:paraId="2CBBB084" w14:textId="77777777" w:rsidR="007728F2" w:rsidRDefault="007728F2" w:rsidP="000375F2">
      <w:pPr>
        <w:ind w:left="540" w:hanging="540"/>
        <w:jc w:val="both"/>
        <w:rPr>
          <w:rFonts w:ascii="Arial" w:hAnsi="Arial"/>
          <w:sz w:val="22"/>
          <w:szCs w:val="22"/>
        </w:rPr>
      </w:pPr>
    </w:p>
    <w:p w14:paraId="376F8C2C" w14:textId="77777777" w:rsidR="00F64CED" w:rsidRDefault="00F64CED" w:rsidP="000375F2">
      <w:pPr>
        <w:ind w:left="540" w:hanging="540"/>
        <w:jc w:val="both"/>
        <w:rPr>
          <w:rFonts w:ascii="Arial" w:hAnsi="Arial"/>
          <w:sz w:val="22"/>
          <w:szCs w:val="22"/>
        </w:rPr>
      </w:pPr>
      <w:r>
        <w:rPr>
          <w:rFonts w:ascii="Arial" w:hAnsi="Arial"/>
          <w:sz w:val="22"/>
          <w:szCs w:val="22"/>
        </w:rPr>
        <w:t xml:space="preserve">US EPA (1997) </w:t>
      </w:r>
      <w:r>
        <w:rPr>
          <w:rFonts w:ascii="Arial" w:hAnsi="Arial"/>
          <w:i/>
          <w:sz w:val="22"/>
          <w:szCs w:val="22"/>
        </w:rPr>
        <w:t>Ecological Risk Assessment Guidance for Superfund</w:t>
      </w:r>
      <w:r>
        <w:rPr>
          <w:rFonts w:ascii="Arial" w:hAnsi="Arial"/>
          <w:sz w:val="22"/>
          <w:szCs w:val="22"/>
        </w:rPr>
        <w:t>.  Solid Waste and Emergency Response, Washington, DC, EPA 540-R-97-006.</w:t>
      </w:r>
    </w:p>
    <w:p w14:paraId="4D6F1204" w14:textId="77777777" w:rsidR="00250995" w:rsidRDefault="00250995" w:rsidP="000375F2">
      <w:pPr>
        <w:ind w:left="540" w:hanging="540"/>
        <w:jc w:val="both"/>
        <w:rPr>
          <w:rFonts w:ascii="Arial" w:hAnsi="Arial"/>
          <w:sz w:val="22"/>
          <w:szCs w:val="22"/>
        </w:rPr>
      </w:pPr>
    </w:p>
    <w:p w14:paraId="39130E87" w14:textId="08CFD4B4" w:rsidR="00250995" w:rsidRPr="00250995" w:rsidRDefault="00250995" w:rsidP="000375F2">
      <w:pPr>
        <w:ind w:left="540" w:hanging="540"/>
        <w:jc w:val="both"/>
        <w:rPr>
          <w:rFonts w:ascii="Arial" w:hAnsi="Arial"/>
          <w:sz w:val="22"/>
          <w:szCs w:val="22"/>
        </w:rPr>
      </w:pPr>
      <w:r>
        <w:rPr>
          <w:rFonts w:ascii="Arial" w:hAnsi="Arial"/>
          <w:sz w:val="22"/>
          <w:szCs w:val="22"/>
        </w:rPr>
        <w:t xml:space="preserve">US EPA (1999) </w:t>
      </w:r>
      <w:r>
        <w:rPr>
          <w:rFonts w:ascii="Arial" w:hAnsi="Arial"/>
          <w:i/>
          <w:sz w:val="22"/>
          <w:szCs w:val="22"/>
        </w:rPr>
        <w:t>Screening Level Ecological Risk Assessment Protocol for Hazardous Waste Combustion Facilities, Volume One.</w:t>
      </w:r>
      <w:r>
        <w:rPr>
          <w:rFonts w:ascii="Arial" w:hAnsi="Arial"/>
          <w:sz w:val="22"/>
          <w:szCs w:val="22"/>
        </w:rPr>
        <w:t xml:space="preserve">  Office of Solid Waste, Washington, DC, EPA 530-D-99-001A.</w:t>
      </w:r>
    </w:p>
    <w:p w14:paraId="4D61541E" w14:textId="77777777" w:rsidR="00201B2D" w:rsidRDefault="00201B2D" w:rsidP="00254385">
      <w:pPr>
        <w:jc w:val="both"/>
        <w:rPr>
          <w:rFonts w:ascii="Arial" w:hAnsi="Arial"/>
          <w:sz w:val="22"/>
          <w:szCs w:val="22"/>
        </w:rPr>
      </w:pPr>
    </w:p>
    <w:p w14:paraId="29E4DE76" w14:textId="77777777" w:rsidR="005E02D7" w:rsidRPr="005E02D7" w:rsidRDefault="005E02D7" w:rsidP="000375F2">
      <w:pPr>
        <w:ind w:left="540" w:hanging="540"/>
        <w:jc w:val="both"/>
        <w:rPr>
          <w:rFonts w:ascii="Arial" w:hAnsi="Arial"/>
          <w:sz w:val="22"/>
          <w:szCs w:val="22"/>
        </w:rPr>
      </w:pPr>
      <w:r>
        <w:rPr>
          <w:rFonts w:ascii="Arial" w:hAnsi="Arial"/>
          <w:sz w:val="22"/>
          <w:szCs w:val="22"/>
        </w:rPr>
        <w:t xml:space="preserve">US EPA (2001) </w:t>
      </w:r>
      <w:r>
        <w:rPr>
          <w:rFonts w:ascii="Arial" w:hAnsi="Arial"/>
          <w:i/>
          <w:sz w:val="22"/>
          <w:szCs w:val="22"/>
        </w:rPr>
        <w:t xml:space="preserve">Risk Assessment Guidance for Superfund: Volume III – Part A, Process for Conducting Probabilistic Risk Assessment.  </w:t>
      </w:r>
      <w:r>
        <w:rPr>
          <w:rFonts w:ascii="Arial" w:hAnsi="Arial"/>
          <w:sz w:val="22"/>
          <w:szCs w:val="22"/>
        </w:rPr>
        <w:t>Office of Emergency and Remedial Response, Washington, DC, EPA 540-R-02-002.</w:t>
      </w:r>
    </w:p>
    <w:p w14:paraId="4C372D5B" w14:textId="77777777" w:rsidR="005E02D7" w:rsidRDefault="005E02D7" w:rsidP="000375F2">
      <w:pPr>
        <w:ind w:left="540" w:hanging="540"/>
        <w:jc w:val="both"/>
        <w:rPr>
          <w:rFonts w:ascii="Arial" w:hAnsi="Arial"/>
          <w:sz w:val="22"/>
          <w:szCs w:val="22"/>
        </w:rPr>
      </w:pPr>
    </w:p>
    <w:p w14:paraId="7BD3E9C0" w14:textId="77777777" w:rsidR="0027635C" w:rsidRDefault="0027635C" w:rsidP="000375F2">
      <w:pPr>
        <w:ind w:left="540" w:hanging="540"/>
        <w:jc w:val="both"/>
        <w:rPr>
          <w:rFonts w:ascii="Arial" w:hAnsi="Arial"/>
          <w:sz w:val="22"/>
          <w:szCs w:val="22"/>
        </w:rPr>
      </w:pPr>
      <w:r>
        <w:rPr>
          <w:rFonts w:ascii="Arial" w:hAnsi="Arial"/>
          <w:sz w:val="22"/>
          <w:szCs w:val="22"/>
        </w:rPr>
        <w:t xml:space="preserve">US EPA (2007) </w:t>
      </w:r>
      <w:r>
        <w:rPr>
          <w:rFonts w:ascii="Arial" w:hAnsi="Arial"/>
          <w:i/>
          <w:sz w:val="22"/>
          <w:szCs w:val="22"/>
        </w:rPr>
        <w:t>Framework for Metals Risk Assessment.</w:t>
      </w:r>
      <w:r>
        <w:rPr>
          <w:rFonts w:ascii="Arial" w:hAnsi="Arial"/>
          <w:sz w:val="22"/>
          <w:szCs w:val="22"/>
        </w:rPr>
        <w:t xml:space="preserve">  Office of the Science Advisor, Risk Assessment Forum, Washington, DC, EPA 120</w:t>
      </w:r>
      <w:r w:rsidR="009E7550">
        <w:rPr>
          <w:rFonts w:ascii="Arial" w:hAnsi="Arial"/>
          <w:sz w:val="22"/>
          <w:szCs w:val="22"/>
        </w:rPr>
        <w:t>/R-</w:t>
      </w:r>
      <w:r w:rsidR="00201B2D">
        <w:rPr>
          <w:rFonts w:ascii="Arial" w:hAnsi="Arial"/>
          <w:sz w:val="22"/>
          <w:szCs w:val="22"/>
        </w:rPr>
        <w:t>07/001.</w:t>
      </w:r>
    </w:p>
    <w:p w14:paraId="53FF021F" w14:textId="77777777" w:rsidR="00533393" w:rsidRDefault="00533393" w:rsidP="000375F2">
      <w:pPr>
        <w:ind w:left="540" w:hanging="540"/>
        <w:jc w:val="both"/>
        <w:rPr>
          <w:rFonts w:ascii="Arial" w:hAnsi="Arial"/>
          <w:sz w:val="22"/>
          <w:szCs w:val="22"/>
        </w:rPr>
      </w:pPr>
    </w:p>
    <w:p w14:paraId="7901489C" w14:textId="4BE9FA9D" w:rsidR="00533393" w:rsidRPr="00AE3C8F" w:rsidRDefault="00533393" w:rsidP="000375F2">
      <w:pPr>
        <w:ind w:left="540" w:hanging="540"/>
        <w:jc w:val="both"/>
        <w:rPr>
          <w:rFonts w:ascii="Arial" w:hAnsi="Arial"/>
          <w:sz w:val="22"/>
          <w:szCs w:val="22"/>
        </w:rPr>
      </w:pPr>
      <w:r>
        <w:rPr>
          <w:rFonts w:ascii="Arial" w:hAnsi="Arial"/>
          <w:sz w:val="22"/>
          <w:szCs w:val="22"/>
        </w:rPr>
        <w:t>Van den Berg</w:t>
      </w:r>
      <w:r w:rsidR="00AE3C8F">
        <w:rPr>
          <w:rFonts w:ascii="Arial" w:hAnsi="Arial"/>
          <w:sz w:val="22"/>
          <w:szCs w:val="22"/>
        </w:rPr>
        <w:t xml:space="preserve">, M, Birnbaum, L, Bosveld, ATC, et al. (1998) Toxic equivalency factors (TEFs) for PCBs, PCDDs, PCDFs for humans and wildlife.  </w:t>
      </w:r>
      <w:r w:rsidR="00AE3C8F">
        <w:rPr>
          <w:rFonts w:ascii="Arial" w:hAnsi="Arial"/>
          <w:i/>
          <w:sz w:val="22"/>
          <w:szCs w:val="22"/>
        </w:rPr>
        <w:t xml:space="preserve">Environmental Health Perspectives </w:t>
      </w:r>
      <w:r w:rsidR="00AE3C8F">
        <w:rPr>
          <w:rFonts w:ascii="Arial" w:hAnsi="Arial"/>
          <w:b/>
          <w:sz w:val="22"/>
          <w:szCs w:val="22"/>
        </w:rPr>
        <w:t>106</w:t>
      </w:r>
      <w:r w:rsidR="00AE3C8F">
        <w:rPr>
          <w:rFonts w:ascii="Arial" w:hAnsi="Arial"/>
          <w:sz w:val="22"/>
          <w:szCs w:val="22"/>
        </w:rPr>
        <w:t>(12), 775-792.</w:t>
      </w:r>
    </w:p>
    <w:p w14:paraId="414B7159" w14:textId="77777777" w:rsidR="00533393" w:rsidRDefault="00533393" w:rsidP="000375F2">
      <w:pPr>
        <w:ind w:left="540" w:hanging="540"/>
        <w:jc w:val="both"/>
        <w:rPr>
          <w:rFonts w:ascii="Arial" w:hAnsi="Arial"/>
          <w:sz w:val="22"/>
          <w:szCs w:val="22"/>
        </w:rPr>
      </w:pPr>
    </w:p>
    <w:p w14:paraId="1AF562F4" w14:textId="4C339C5E" w:rsidR="00533393" w:rsidRPr="00AE3C8F" w:rsidRDefault="00533393" w:rsidP="000375F2">
      <w:pPr>
        <w:ind w:left="540" w:hanging="540"/>
        <w:jc w:val="both"/>
        <w:rPr>
          <w:rFonts w:ascii="Arial" w:hAnsi="Arial"/>
          <w:sz w:val="22"/>
          <w:szCs w:val="22"/>
        </w:rPr>
      </w:pPr>
      <w:r>
        <w:rPr>
          <w:rFonts w:ascii="Arial" w:hAnsi="Arial"/>
          <w:sz w:val="22"/>
          <w:szCs w:val="22"/>
        </w:rPr>
        <w:t>Van den Berg</w:t>
      </w:r>
      <w:r w:rsidR="00BB3E39">
        <w:rPr>
          <w:rFonts w:ascii="Arial" w:hAnsi="Arial"/>
          <w:sz w:val="22"/>
          <w:szCs w:val="22"/>
        </w:rPr>
        <w:t xml:space="preserve">, M, Birnbaum, LS, Denison, M, et al. (2006) </w:t>
      </w:r>
      <w:r w:rsidR="00AE3C8F">
        <w:rPr>
          <w:rFonts w:ascii="Arial" w:hAnsi="Arial"/>
          <w:sz w:val="22"/>
          <w:szCs w:val="22"/>
        </w:rPr>
        <w:t xml:space="preserve">The 2005 World Health Organization reevaluation of human and mammalian toxic equivalency factors for dioxins and dioxin-like compounds.  </w:t>
      </w:r>
      <w:r w:rsidR="00AE3C8F">
        <w:rPr>
          <w:rFonts w:ascii="Arial" w:hAnsi="Arial"/>
          <w:i/>
          <w:sz w:val="22"/>
          <w:szCs w:val="22"/>
        </w:rPr>
        <w:t xml:space="preserve">Toxicological Sciences </w:t>
      </w:r>
      <w:r w:rsidR="00AE3C8F">
        <w:rPr>
          <w:rFonts w:ascii="Arial" w:hAnsi="Arial"/>
          <w:b/>
          <w:sz w:val="22"/>
          <w:szCs w:val="22"/>
        </w:rPr>
        <w:t>93</w:t>
      </w:r>
      <w:r w:rsidR="00AE3C8F">
        <w:rPr>
          <w:rFonts w:ascii="Arial" w:hAnsi="Arial"/>
          <w:sz w:val="22"/>
          <w:szCs w:val="22"/>
        </w:rPr>
        <w:t>(2), 223-241.</w:t>
      </w:r>
    </w:p>
    <w:p w14:paraId="5906A9B4" w14:textId="77777777" w:rsidR="00BB3E39" w:rsidRDefault="00BB3E39" w:rsidP="000375F2">
      <w:pPr>
        <w:ind w:left="540" w:hanging="540"/>
        <w:jc w:val="both"/>
        <w:rPr>
          <w:rFonts w:ascii="Arial" w:hAnsi="Arial"/>
          <w:sz w:val="22"/>
          <w:szCs w:val="22"/>
        </w:rPr>
      </w:pPr>
    </w:p>
    <w:p w14:paraId="0BBB67F5" w14:textId="77777777" w:rsidR="009E7550" w:rsidRPr="0027635C" w:rsidRDefault="009E7550" w:rsidP="000375F2">
      <w:pPr>
        <w:ind w:left="540" w:hanging="540"/>
        <w:jc w:val="both"/>
        <w:rPr>
          <w:rFonts w:ascii="Arial" w:hAnsi="Arial"/>
          <w:sz w:val="22"/>
          <w:szCs w:val="22"/>
        </w:rPr>
      </w:pPr>
    </w:p>
    <w:sectPr w:rsidR="009E7550" w:rsidRPr="0027635C" w:rsidSect="00AD47C2">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38A6F" w14:textId="77777777" w:rsidR="00B723ED" w:rsidRDefault="00B723ED" w:rsidP="00AD47C2">
      <w:r>
        <w:separator/>
      </w:r>
    </w:p>
  </w:endnote>
  <w:endnote w:type="continuationSeparator" w:id="0">
    <w:p w14:paraId="4CEB09B6" w14:textId="77777777" w:rsidR="00B723ED" w:rsidRDefault="00B723ED" w:rsidP="00AD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F7159" w14:textId="77777777" w:rsidR="00BB3E39" w:rsidRDefault="00BB3E39" w:rsidP="00C704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BC1B61" w14:textId="77777777" w:rsidR="00BB3E39" w:rsidRDefault="00BB3E39" w:rsidP="00AD47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183BB" w14:textId="1C93F38C" w:rsidR="00BB3E39" w:rsidRDefault="00BB3E39" w:rsidP="00C704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4B0D">
      <w:rPr>
        <w:rStyle w:val="PageNumber"/>
        <w:noProof/>
      </w:rPr>
      <w:t>1</w:t>
    </w:r>
    <w:r>
      <w:rPr>
        <w:rStyle w:val="PageNumber"/>
      </w:rPr>
      <w:fldChar w:fldCharType="end"/>
    </w:r>
  </w:p>
  <w:p w14:paraId="3C778203" w14:textId="77777777" w:rsidR="00BB3E39" w:rsidRDefault="00BB3E39" w:rsidP="00AD47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B704E" w14:textId="77777777" w:rsidR="00B723ED" w:rsidRDefault="00B723ED" w:rsidP="00AD47C2">
      <w:r>
        <w:separator/>
      </w:r>
    </w:p>
  </w:footnote>
  <w:footnote w:type="continuationSeparator" w:id="0">
    <w:p w14:paraId="3D77143E" w14:textId="77777777" w:rsidR="00B723ED" w:rsidRDefault="00B723ED" w:rsidP="00AD4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809E4" w14:textId="77777777" w:rsidR="00BB3E39" w:rsidRDefault="00B723ED">
    <w:pPr>
      <w:pStyle w:val="Header"/>
    </w:pPr>
    <w:r>
      <w:rPr>
        <w:noProof/>
      </w:rPr>
      <w:pict w14:anchorId="064E5D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06.05pt;height:203pt;rotation:315;z-index:-251655168;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silver" stroked="f">
          <v:fill opacity="21626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FE7CF" w14:textId="77777777" w:rsidR="00BB3E39" w:rsidRDefault="00B723ED">
    <w:pPr>
      <w:pStyle w:val="Header"/>
    </w:pPr>
    <w:r>
      <w:rPr>
        <w:noProof/>
      </w:rPr>
      <w:pict w14:anchorId="076B5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06.05pt;height:203pt;rotation:315;z-index:-251653120;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silver" stroked="f">
          <v:fill opacity="21626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14047"/>
    <w:multiLevelType w:val="hybridMultilevel"/>
    <w:tmpl w:val="5F20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45E87"/>
    <w:multiLevelType w:val="hybridMultilevel"/>
    <w:tmpl w:val="3452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C25B3"/>
    <w:multiLevelType w:val="hybridMultilevel"/>
    <w:tmpl w:val="D9C4D29C"/>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3" w15:restartNumberingAfterBreak="0">
    <w:nsid w:val="21E22439"/>
    <w:multiLevelType w:val="hybridMultilevel"/>
    <w:tmpl w:val="9A122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1643C"/>
    <w:multiLevelType w:val="hybridMultilevel"/>
    <w:tmpl w:val="20CC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1225B"/>
    <w:multiLevelType w:val="hybridMultilevel"/>
    <w:tmpl w:val="1140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11CE2"/>
    <w:multiLevelType w:val="hybridMultilevel"/>
    <w:tmpl w:val="A622E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666C8"/>
    <w:multiLevelType w:val="hybridMultilevel"/>
    <w:tmpl w:val="C2EC59C4"/>
    <w:lvl w:ilvl="0" w:tplc="28768162">
      <w:start w:val="2"/>
      <w:numFmt w:val="decimal"/>
      <w:lvlText w:val="%1."/>
      <w:lvlJc w:val="left"/>
      <w:pPr>
        <w:tabs>
          <w:tab w:val="num" w:pos="720"/>
        </w:tabs>
        <w:ind w:left="720" w:hanging="360"/>
      </w:pPr>
    </w:lvl>
    <w:lvl w:ilvl="1" w:tplc="FCFE2112" w:tentative="1">
      <w:start w:val="1"/>
      <w:numFmt w:val="decimal"/>
      <w:lvlText w:val="%2."/>
      <w:lvlJc w:val="left"/>
      <w:pPr>
        <w:tabs>
          <w:tab w:val="num" w:pos="1440"/>
        </w:tabs>
        <w:ind w:left="1440" w:hanging="360"/>
      </w:pPr>
    </w:lvl>
    <w:lvl w:ilvl="2" w:tplc="111A56B6" w:tentative="1">
      <w:start w:val="1"/>
      <w:numFmt w:val="decimal"/>
      <w:lvlText w:val="%3."/>
      <w:lvlJc w:val="left"/>
      <w:pPr>
        <w:tabs>
          <w:tab w:val="num" w:pos="2160"/>
        </w:tabs>
        <w:ind w:left="2160" w:hanging="360"/>
      </w:pPr>
    </w:lvl>
    <w:lvl w:ilvl="3" w:tplc="E6E2EF30" w:tentative="1">
      <w:start w:val="1"/>
      <w:numFmt w:val="decimal"/>
      <w:lvlText w:val="%4."/>
      <w:lvlJc w:val="left"/>
      <w:pPr>
        <w:tabs>
          <w:tab w:val="num" w:pos="2880"/>
        </w:tabs>
        <w:ind w:left="2880" w:hanging="360"/>
      </w:pPr>
    </w:lvl>
    <w:lvl w:ilvl="4" w:tplc="9022F32E" w:tentative="1">
      <w:start w:val="1"/>
      <w:numFmt w:val="decimal"/>
      <w:lvlText w:val="%5."/>
      <w:lvlJc w:val="left"/>
      <w:pPr>
        <w:tabs>
          <w:tab w:val="num" w:pos="3600"/>
        </w:tabs>
        <w:ind w:left="3600" w:hanging="360"/>
      </w:pPr>
    </w:lvl>
    <w:lvl w:ilvl="5" w:tplc="BE0EAAFE" w:tentative="1">
      <w:start w:val="1"/>
      <w:numFmt w:val="decimal"/>
      <w:lvlText w:val="%6."/>
      <w:lvlJc w:val="left"/>
      <w:pPr>
        <w:tabs>
          <w:tab w:val="num" w:pos="4320"/>
        </w:tabs>
        <w:ind w:left="4320" w:hanging="360"/>
      </w:pPr>
    </w:lvl>
    <w:lvl w:ilvl="6" w:tplc="7A06B722" w:tentative="1">
      <w:start w:val="1"/>
      <w:numFmt w:val="decimal"/>
      <w:lvlText w:val="%7."/>
      <w:lvlJc w:val="left"/>
      <w:pPr>
        <w:tabs>
          <w:tab w:val="num" w:pos="5040"/>
        </w:tabs>
        <w:ind w:left="5040" w:hanging="360"/>
      </w:pPr>
    </w:lvl>
    <w:lvl w:ilvl="7" w:tplc="19A29DAC" w:tentative="1">
      <w:start w:val="1"/>
      <w:numFmt w:val="decimal"/>
      <w:lvlText w:val="%8."/>
      <w:lvlJc w:val="left"/>
      <w:pPr>
        <w:tabs>
          <w:tab w:val="num" w:pos="5760"/>
        </w:tabs>
        <w:ind w:left="5760" w:hanging="360"/>
      </w:pPr>
    </w:lvl>
    <w:lvl w:ilvl="8" w:tplc="6BF0715A" w:tentative="1">
      <w:start w:val="1"/>
      <w:numFmt w:val="decimal"/>
      <w:lvlText w:val="%9."/>
      <w:lvlJc w:val="left"/>
      <w:pPr>
        <w:tabs>
          <w:tab w:val="num" w:pos="6480"/>
        </w:tabs>
        <w:ind w:left="6480" w:hanging="360"/>
      </w:pPr>
    </w:lvl>
  </w:abstractNum>
  <w:abstractNum w:abstractNumId="8" w15:restartNumberingAfterBreak="0">
    <w:nsid w:val="4369580B"/>
    <w:multiLevelType w:val="hybridMultilevel"/>
    <w:tmpl w:val="B0B8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326A8"/>
    <w:multiLevelType w:val="hybridMultilevel"/>
    <w:tmpl w:val="5E463BD2"/>
    <w:lvl w:ilvl="0" w:tplc="566003C4">
      <w:start w:val="1"/>
      <w:numFmt w:val="bullet"/>
      <w:lvlText w:val=""/>
      <w:lvlJc w:val="left"/>
      <w:pPr>
        <w:tabs>
          <w:tab w:val="num" w:pos="720"/>
        </w:tabs>
        <w:ind w:left="720" w:hanging="360"/>
      </w:pPr>
      <w:rPr>
        <w:rFonts w:ascii="Wingdings 3" w:hAnsi="Wingdings 3" w:hint="default"/>
      </w:rPr>
    </w:lvl>
    <w:lvl w:ilvl="1" w:tplc="EB3C1E36" w:tentative="1">
      <w:start w:val="1"/>
      <w:numFmt w:val="bullet"/>
      <w:lvlText w:val=""/>
      <w:lvlJc w:val="left"/>
      <w:pPr>
        <w:tabs>
          <w:tab w:val="num" w:pos="1440"/>
        </w:tabs>
        <w:ind w:left="1440" w:hanging="360"/>
      </w:pPr>
      <w:rPr>
        <w:rFonts w:ascii="Wingdings 3" w:hAnsi="Wingdings 3" w:hint="default"/>
      </w:rPr>
    </w:lvl>
    <w:lvl w:ilvl="2" w:tplc="7D7EAE7E" w:tentative="1">
      <w:start w:val="1"/>
      <w:numFmt w:val="bullet"/>
      <w:lvlText w:val=""/>
      <w:lvlJc w:val="left"/>
      <w:pPr>
        <w:tabs>
          <w:tab w:val="num" w:pos="2160"/>
        </w:tabs>
        <w:ind w:left="2160" w:hanging="360"/>
      </w:pPr>
      <w:rPr>
        <w:rFonts w:ascii="Wingdings 3" w:hAnsi="Wingdings 3" w:hint="default"/>
      </w:rPr>
    </w:lvl>
    <w:lvl w:ilvl="3" w:tplc="88661402" w:tentative="1">
      <w:start w:val="1"/>
      <w:numFmt w:val="bullet"/>
      <w:lvlText w:val=""/>
      <w:lvlJc w:val="left"/>
      <w:pPr>
        <w:tabs>
          <w:tab w:val="num" w:pos="2880"/>
        </w:tabs>
        <w:ind w:left="2880" w:hanging="360"/>
      </w:pPr>
      <w:rPr>
        <w:rFonts w:ascii="Wingdings 3" w:hAnsi="Wingdings 3" w:hint="default"/>
      </w:rPr>
    </w:lvl>
    <w:lvl w:ilvl="4" w:tplc="FA729B22" w:tentative="1">
      <w:start w:val="1"/>
      <w:numFmt w:val="bullet"/>
      <w:lvlText w:val=""/>
      <w:lvlJc w:val="left"/>
      <w:pPr>
        <w:tabs>
          <w:tab w:val="num" w:pos="3600"/>
        </w:tabs>
        <w:ind w:left="3600" w:hanging="360"/>
      </w:pPr>
      <w:rPr>
        <w:rFonts w:ascii="Wingdings 3" w:hAnsi="Wingdings 3" w:hint="default"/>
      </w:rPr>
    </w:lvl>
    <w:lvl w:ilvl="5" w:tplc="07C6ABBC" w:tentative="1">
      <w:start w:val="1"/>
      <w:numFmt w:val="bullet"/>
      <w:lvlText w:val=""/>
      <w:lvlJc w:val="left"/>
      <w:pPr>
        <w:tabs>
          <w:tab w:val="num" w:pos="4320"/>
        </w:tabs>
        <w:ind w:left="4320" w:hanging="360"/>
      </w:pPr>
      <w:rPr>
        <w:rFonts w:ascii="Wingdings 3" w:hAnsi="Wingdings 3" w:hint="default"/>
      </w:rPr>
    </w:lvl>
    <w:lvl w:ilvl="6" w:tplc="D83C1AD4" w:tentative="1">
      <w:start w:val="1"/>
      <w:numFmt w:val="bullet"/>
      <w:lvlText w:val=""/>
      <w:lvlJc w:val="left"/>
      <w:pPr>
        <w:tabs>
          <w:tab w:val="num" w:pos="5040"/>
        </w:tabs>
        <w:ind w:left="5040" w:hanging="360"/>
      </w:pPr>
      <w:rPr>
        <w:rFonts w:ascii="Wingdings 3" w:hAnsi="Wingdings 3" w:hint="default"/>
      </w:rPr>
    </w:lvl>
    <w:lvl w:ilvl="7" w:tplc="8E10724A" w:tentative="1">
      <w:start w:val="1"/>
      <w:numFmt w:val="bullet"/>
      <w:lvlText w:val=""/>
      <w:lvlJc w:val="left"/>
      <w:pPr>
        <w:tabs>
          <w:tab w:val="num" w:pos="5760"/>
        </w:tabs>
        <w:ind w:left="5760" w:hanging="360"/>
      </w:pPr>
      <w:rPr>
        <w:rFonts w:ascii="Wingdings 3" w:hAnsi="Wingdings 3" w:hint="default"/>
      </w:rPr>
    </w:lvl>
    <w:lvl w:ilvl="8" w:tplc="0EA0719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E956461"/>
    <w:multiLevelType w:val="hybridMultilevel"/>
    <w:tmpl w:val="669E5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CE75CB"/>
    <w:multiLevelType w:val="hybridMultilevel"/>
    <w:tmpl w:val="5A6C6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D49B7"/>
    <w:multiLevelType w:val="hybridMultilevel"/>
    <w:tmpl w:val="9182C932"/>
    <w:lvl w:ilvl="0" w:tplc="08FA991E">
      <w:start w:val="1"/>
      <w:numFmt w:val="decimal"/>
      <w:lvlText w:val="%1."/>
      <w:lvlJc w:val="left"/>
      <w:pPr>
        <w:tabs>
          <w:tab w:val="num" w:pos="720"/>
        </w:tabs>
        <w:ind w:left="720" w:hanging="360"/>
      </w:pPr>
    </w:lvl>
    <w:lvl w:ilvl="1" w:tplc="B854FC90" w:tentative="1">
      <w:start w:val="1"/>
      <w:numFmt w:val="decimal"/>
      <w:lvlText w:val="%2."/>
      <w:lvlJc w:val="left"/>
      <w:pPr>
        <w:tabs>
          <w:tab w:val="num" w:pos="1440"/>
        </w:tabs>
        <w:ind w:left="1440" w:hanging="360"/>
      </w:pPr>
    </w:lvl>
    <w:lvl w:ilvl="2" w:tplc="ACFEFCBE" w:tentative="1">
      <w:start w:val="1"/>
      <w:numFmt w:val="decimal"/>
      <w:lvlText w:val="%3."/>
      <w:lvlJc w:val="left"/>
      <w:pPr>
        <w:tabs>
          <w:tab w:val="num" w:pos="2160"/>
        </w:tabs>
        <w:ind w:left="2160" w:hanging="360"/>
      </w:pPr>
    </w:lvl>
    <w:lvl w:ilvl="3" w:tplc="B39030BC" w:tentative="1">
      <w:start w:val="1"/>
      <w:numFmt w:val="decimal"/>
      <w:lvlText w:val="%4."/>
      <w:lvlJc w:val="left"/>
      <w:pPr>
        <w:tabs>
          <w:tab w:val="num" w:pos="2880"/>
        </w:tabs>
        <w:ind w:left="2880" w:hanging="360"/>
      </w:pPr>
    </w:lvl>
    <w:lvl w:ilvl="4" w:tplc="F11079C8" w:tentative="1">
      <w:start w:val="1"/>
      <w:numFmt w:val="decimal"/>
      <w:lvlText w:val="%5."/>
      <w:lvlJc w:val="left"/>
      <w:pPr>
        <w:tabs>
          <w:tab w:val="num" w:pos="3600"/>
        </w:tabs>
        <w:ind w:left="3600" w:hanging="360"/>
      </w:pPr>
    </w:lvl>
    <w:lvl w:ilvl="5" w:tplc="67CED0DA" w:tentative="1">
      <w:start w:val="1"/>
      <w:numFmt w:val="decimal"/>
      <w:lvlText w:val="%6."/>
      <w:lvlJc w:val="left"/>
      <w:pPr>
        <w:tabs>
          <w:tab w:val="num" w:pos="4320"/>
        </w:tabs>
        <w:ind w:left="4320" w:hanging="360"/>
      </w:pPr>
    </w:lvl>
    <w:lvl w:ilvl="6" w:tplc="EDD48B40" w:tentative="1">
      <w:start w:val="1"/>
      <w:numFmt w:val="decimal"/>
      <w:lvlText w:val="%7."/>
      <w:lvlJc w:val="left"/>
      <w:pPr>
        <w:tabs>
          <w:tab w:val="num" w:pos="5040"/>
        </w:tabs>
        <w:ind w:left="5040" w:hanging="360"/>
      </w:pPr>
    </w:lvl>
    <w:lvl w:ilvl="7" w:tplc="77E4C69C" w:tentative="1">
      <w:start w:val="1"/>
      <w:numFmt w:val="decimal"/>
      <w:lvlText w:val="%8."/>
      <w:lvlJc w:val="left"/>
      <w:pPr>
        <w:tabs>
          <w:tab w:val="num" w:pos="5760"/>
        </w:tabs>
        <w:ind w:left="5760" w:hanging="360"/>
      </w:pPr>
    </w:lvl>
    <w:lvl w:ilvl="8" w:tplc="DF5A2F9A" w:tentative="1">
      <w:start w:val="1"/>
      <w:numFmt w:val="decimal"/>
      <w:lvlText w:val="%9."/>
      <w:lvlJc w:val="left"/>
      <w:pPr>
        <w:tabs>
          <w:tab w:val="num" w:pos="6480"/>
        </w:tabs>
        <w:ind w:left="6480" w:hanging="360"/>
      </w:pPr>
    </w:lvl>
  </w:abstractNum>
  <w:abstractNum w:abstractNumId="13" w15:restartNumberingAfterBreak="0">
    <w:nsid w:val="63226B00"/>
    <w:multiLevelType w:val="hybridMultilevel"/>
    <w:tmpl w:val="9E9413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394983"/>
    <w:multiLevelType w:val="hybridMultilevel"/>
    <w:tmpl w:val="F912B2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670FAF"/>
    <w:multiLevelType w:val="hybridMultilevel"/>
    <w:tmpl w:val="C9A09D88"/>
    <w:lvl w:ilvl="0" w:tplc="D0CA75FA">
      <w:start w:val="1"/>
      <w:numFmt w:val="decimal"/>
      <w:lvlText w:val="%1."/>
      <w:lvlJc w:val="left"/>
      <w:pPr>
        <w:tabs>
          <w:tab w:val="num" w:pos="720"/>
        </w:tabs>
        <w:ind w:left="720" w:hanging="360"/>
      </w:pPr>
    </w:lvl>
    <w:lvl w:ilvl="1" w:tplc="92E49EA8" w:tentative="1">
      <w:start w:val="1"/>
      <w:numFmt w:val="decimal"/>
      <w:lvlText w:val="%2."/>
      <w:lvlJc w:val="left"/>
      <w:pPr>
        <w:tabs>
          <w:tab w:val="num" w:pos="1440"/>
        </w:tabs>
        <w:ind w:left="1440" w:hanging="360"/>
      </w:pPr>
    </w:lvl>
    <w:lvl w:ilvl="2" w:tplc="24182612" w:tentative="1">
      <w:start w:val="1"/>
      <w:numFmt w:val="decimal"/>
      <w:lvlText w:val="%3."/>
      <w:lvlJc w:val="left"/>
      <w:pPr>
        <w:tabs>
          <w:tab w:val="num" w:pos="2160"/>
        </w:tabs>
        <w:ind w:left="2160" w:hanging="360"/>
      </w:pPr>
    </w:lvl>
    <w:lvl w:ilvl="3" w:tplc="E3A248F4" w:tentative="1">
      <w:start w:val="1"/>
      <w:numFmt w:val="decimal"/>
      <w:lvlText w:val="%4."/>
      <w:lvlJc w:val="left"/>
      <w:pPr>
        <w:tabs>
          <w:tab w:val="num" w:pos="2880"/>
        </w:tabs>
        <w:ind w:left="2880" w:hanging="360"/>
      </w:pPr>
    </w:lvl>
    <w:lvl w:ilvl="4" w:tplc="23F6DABE" w:tentative="1">
      <w:start w:val="1"/>
      <w:numFmt w:val="decimal"/>
      <w:lvlText w:val="%5."/>
      <w:lvlJc w:val="left"/>
      <w:pPr>
        <w:tabs>
          <w:tab w:val="num" w:pos="3600"/>
        </w:tabs>
        <w:ind w:left="3600" w:hanging="360"/>
      </w:pPr>
    </w:lvl>
    <w:lvl w:ilvl="5" w:tplc="424CAB00" w:tentative="1">
      <w:start w:val="1"/>
      <w:numFmt w:val="decimal"/>
      <w:lvlText w:val="%6."/>
      <w:lvlJc w:val="left"/>
      <w:pPr>
        <w:tabs>
          <w:tab w:val="num" w:pos="4320"/>
        </w:tabs>
        <w:ind w:left="4320" w:hanging="360"/>
      </w:pPr>
    </w:lvl>
    <w:lvl w:ilvl="6" w:tplc="C1383CD2" w:tentative="1">
      <w:start w:val="1"/>
      <w:numFmt w:val="decimal"/>
      <w:lvlText w:val="%7."/>
      <w:lvlJc w:val="left"/>
      <w:pPr>
        <w:tabs>
          <w:tab w:val="num" w:pos="5040"/>
        </w:tabs>
        <w:ind w:left="5040" w:hanging="360"/>
      </w:pPr>
    </w:lvl>
    <w:lvl w:ilvl="7" w:tplc="C25E2A1A" w:tentative="1">
      <w:start w:val="1"/>
      <w:numFmt w:val="decimal"/>
      <w:lvlText w:val="%8."/>
      <w:lvlJc w:val="left"/>
      <w:pPr>
        <w:tabs>
          <w:tab w:val="num" w:pos="5760"/>
        </w:tabs>
        <w:ind w:left="5760" w:hanging="360"/>
      </w:pPr>
    </w:lvl>
    <w:lvl w:ilvl="8" w:tplc="A2565C62" w:tentative="1">
      <w:start w:val="1"/>
      <w:numFmt w:val="decimal"/>
      <w:lvlText w:val="%9."/>
      <w:lvlJc w:val="left"/>
      <w:pPr>
        <w:tabs>
          <w:tab w:val="num" w:pos="6480"/>
        </w:tabs>
        <w:ind w:left="6480" w:hanging="360"/>
      </w:pPr>
    </w:lvl>
  </w:abstractNum>
  <w:abstractNum w:abstractNumId="16" w15:restartNumberingAfterBreak="0">
    <w:nsid w:val="6D714A55"/>
    <w:multiLevelType w:val="hybridMultilevel"/>
    <w:tmpl w:val="A5D42AE0"/>
    <w:lvl w:ilvl="0" w:tplc="41DC1B80">
      <w:start w:val="4"/>
      <w:numFmt w:val="decimal"/>
      <w:lvlText w:val="%1."/>
      <w:lvlJc w:val="left"/>
      <w:pPr>
        <w:tabs>
          <w:tab w:val="num" w:pos="720"/>
        </w:tabs>
        <w:ind w:left="720" w:hanging="360"/>
      </w:pPr>
    </w:lvl>
    <w:lvl w:ilvl="1" w:tplc="83B64988" w:tentative="1">
      <w:start w:val="1"/>
      <w:numFmt w:val="decimal"/>
      <w:lvlText w:val="%2."/>
      <w:lvlJc w:val="left"/>
      <w:pPr>
        <w:tabs>
          <w:tab w:val="num" w:pos="1440"/>
        </w:tabs>
        <w:ind w:left="1440" w:hanging="360"/>
      </w:pPr>
    </w:lvl>
    <w:lvl w:ilvl="2" w:tplc="458EC400" w:tentative="1">
      <w:start w:val="1"/>
      <w:numFmt w:val="decimal"/>
      <w:lvlText w:val="%3."/>
      <w:lvlJc w:val="left"/>
      <w:pPr>
        <w:tabs>
          <w:tab w:val="num" w:pos="2160"/>
        </w:tabs>
        <w:ind w:left="2160" w:hanging="360"/>
      </w:pPr>
    </w:lvl>
    <w:lvl w:ilvl="3" w:tplc="CC9C059C" w:tentative="1">
      <w:start w:val="1"/>
      <w:numFmt w:val="decimal"/>
      <w:lvlText w:val="%4."/>
      <w:lvlJc w:val="left"/>
      <w:pPr>
        <w:tabs>
          <w:tab w:val="num" w:pos="2880"/>
        </w:tabs>
        <w:ind w:left="2880" w:hanging="360"/>
      </w:pPr>
    </w:lvl>
    <w:lvl w:ilvl="4" w:tplc="9B826790" w:tentative="1">
      <w:start w:val="1"/>
      <w:numFmt w:val="decimal"/>
      <w:lvlText w:val="%5."/>
      <w:lvlJc w:val="left"/>
      <w:pPr>
        <w:tabs>
          <w:tab w:val="num" w:pos="3600"/>
        </w:tabs>
        <w:ind w:left="3600" w:hanging="360"/>
      </w:pPr>
    </w:lvl>
    <w:lvl w:ilvl="5" w:tplc="5BBCB77A" w:tentative="1">
      <w:start w:val="1"/>
      <w:numFmt w:val="decimal"/>
      <w:lvlText w:val="%6."/>
      <w:lvlJc w:val="left"/>
      <w:pPr>
        <w:tabs>
          <w:tab w:val="num" w:pos="4320"/>
        </w:tabs>
        <w:ind w:left="4320" w:hanging="360"/>
      </w:pPr>
    </w:lvl>
    <w:lvl w:ilvl="6" w:tplc="51FA4F10" w:tentative="1">
      <w:start w:val="1"/>
      <w:numFmt w:val="decimal"/>
      <w:lvlText w:val="%7."/>
      <w:lvlJc w:val="left"/>
      <w:pPr>
        <w:tabs>
          <w:tab w:val="num" w:pos="5040"/>
        </w:tabs>
        <w:ind w:left="5040" w:hanging="360"/>
      </w:pPr>
    </w:lvl>
    <w:lvl w:ilvl="7" w:tplc="A6048B82" w:tentative="1">
      <w:start w:val="1"/>
      <w:numFmt w:val="decimal"/>
      <w:lvlText w:val="%8."/>
      <w:lvlJc w:val="left"/>
      <w:pPr>
        <w:tabs>
          <w:tab w:val="num" w:pos="5760"/>
        </w:tabs>
        <w:ind w:left="5760" w:hanging="360"/>
      </w:pPr>
    </w:lvl>
    <w:lvl w:ilvl="8" w:tplc="61A09AEE" w:tentative="1">
      <w:start w:val="1"/>
      <w:numFmt w:val="decimal"/>
      <w:lvlText w:val="%9."/>
      <w:lvlJc w:val="left"/>
      <w:pPr>
        <w:tabs>
          <w:tab w:val="num" w:pos="6480"/>
        </w:tabs>
        <w:ind w:left="6480" w:hanging="360"/>
      </w:pPr>
    </w:lvl>
  </w:abstractNum>
  <w:abstractNum w:abstractNumId="17" w15:restartNumberingAfterBreak="0">
    <w:nsid w:val="716576FB"/>
    <w:multiLevelType w:val="hybridMultilevel"/>
    <w:tmpl w:val="A79C8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A1727"/>
    <w:multiLevelType w:val="hybridMultilevel"/>
    <w:tmpl w:val="ACA85096"/>
    <w:lvl w:ilvl="0" w:tplc="05340EA2">
      <w:start w:val="1"/>
      <w:numFmt w:val="bullet"/>
      <w:lvlText w:val=""/>
      <w:lvlJc w:val="left"/>
      <w:pPr>
        <w:tabs>
          <w:tab w:val="num" w:pos="720"/>
        </w:tabs>
        <w:ind w:left="720" w:hanging="360"/>
      </w:pPr>
      <w:rPr>
        <w:rFonts w:ascii="Wingdings 3" w:hAnsi="Wingdings 3" w:hint="default"/>
      </w:rPr>
    </w:lvl>
    <w:lvl w:ilvl="1" w:tplc="AA90EEB0">
      <w:start w:val="1"/>
      <w:numFmt w:val="bullet"/>
      <w:lvlText w:val=""/>
      <w:lvlJc w:val="left"/>
      <w:pPr>
        <w:tabs>
          <w:tab w:val="num" w:pos="1440"/>
        </w:tabs>
        <w:ind w:left="1440" w:hanging="360"/>
      </w:pPr>
      <w:rPr>
        <w:rFonts w:ascii="Wingdings 3" w:hAnsi="Wingdings 3" w:hint="default"/>
      </w:rPr>
    </w:lvl>
    <w:lvl w:ilvl="2" w:tplc="5B5EA21C" w:tentative="1">
      <w:start w:val="1"/>
      <w:numFmt w:val="bullet"/>
      <w:lvlText w:val=""/>
      <w:lvlJc w:val="left"/>
      <w:pPr>
        <w:tabs>
          <w:tab w:val="num" w:pos="2160"/>
        </w:tabs>
        <w:ind w:left="2160" w:hanging="360"/>
      </w:pPr>
      <w:rPr>
        <w:rFonts w:ascii="Wingdings 3" w:hAnsi="Wingdings 3" w:hint="default"/>
      </w:rPr>
    </w:lvl>
    <w:lvl w:ilvl="3" w:tplc="998622B8" w:tentative="1">
      <w:start w:val="1"/>
      <w:numFmt w:val="bullet"/>
      <w:lvlText w:val=""/>
      <w:lvlJc w:val="left"/>
      <w:pPr>
        <w:tabs>
          <w:tab w:val="num" w:pos="2880"/>
        </w:tabs>
        <w:ind w:left="2880" w:hanging="360"/>
      </w:pPr>
      <w:rPr>
        <w:rFonts w:ascii="Wingdings 3" w:hAnsi="Wingdings 3" w:hint="default"/>
      </w:rPr>
    </w:lvl>
    <w:lvl w:ilvl="4" w:tplc="6192842C" w:tentative="1">
      <w:start w:val="1"/>
      <w:numFmt w:val="bullet"/>
      <w:lvlText w:val=""/>
      <w:lvlJc w:val="left"/>
      <w:pPr>
        <w:tabs>
          <w:tab w:val="num" w:pos="3600"/>
        </w:tabs>
        <w:ind w:left="3600" w:hanging="360"/>
      </w:pPr>
      <w:rPr>
        <w:rFonts w:ascii="Wingdings 3" w:hAnsi="Wingdings 3" w:hint="default"/>
      </w:rPr>
    </w:lvl>
    <w:lvl w:ilvl="5" w:tplc="28080FB8" w:tentative="1">
      <w:start w:val="1"/>
      <w:numFmt w:val="bullet"/>
      <w:lvlText w:val=""/>
      <w:lvlJc w:val="left"/>
      <w:pPr>
        <w:tabs>
          <w:tab w:val="num" w:pos="4320"/>
        </w:tabs>
        <w:ind w:left="4320" w:hanging="360"/>
      </w:pPr>
      <w:rPr>
        <w:rFonts w:ascii="Wingdings 3" w:hAnsi="Wingdings 3" w:hint="default"/>
      </w:rPr>
    </w:lvl>
    <w:lvl w:ilvl="6" w:tplc="64EAEBEE" w:tentative="1">
      <w:start w:val="1"/>
      <w:numFmt w:val="bullet"/>
      <w:lvlText w:val=""/>
      <w:lvlJc w:val="left"/>
      <w:pPr>
        <w:tabs>
          <w:tab w:val="num" w:pos="5040"/>
        </w:tabs>
        <w:ind w:left="5040" w:hanging="360"/>
      </w:pPr>
      <w:rPr>
        <w:rFonts w:ascii="Wingdings 3" w:hAnsi="Wingdings 3" w:hint="default"/>
      </w:rPr>
    </w:lvl>
    <w:lvl w:ilvl="7" w:tplc="B67C5D74" w:tentative="1">
      <w:start w:val="1"/>
      <w:numFmt w:val="bullet"/>
      <w:lvlText w:val=""/>
      <w:lvlJc w:val="left"/>
      <w:pPr>
        <w:tabs>
          <w:tab w:val="num" w:pos="5760"/>
        </w:tabs>
        <w:ind w:left="5760" w:hanging="360"/>
      </w:pPr>
      <w:rPr>
        <w:rFonts w:ascii="Wingdings 3" w:hAnsi="Wingdings 3" w:hint="default"/>
      </w:rPr>
    </w:lvl>
    <w:lvl w:ilvl="8" w:tplc="893C5E3A"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793A7EED"/>
    <w:multiLevelType w:val="hybridMultilevel"/>
    <w:tmpl w:val="281E678E"/>
    <w:lvl w:ilvl="0" w:tplc="0988E648">
      <w:start w:val="1"/>
      <w:numFmt w:val="decimal"/>
      <w:lvlText w:val="%1."/>
      <w:lvlJc w:val="left"/>
      <w:pPr>
        <w:tabs>
          <w:tab w:val="num" w:pos="720"/>
        </w:tabs>
        <w:ind w:left="720" w:hanging="360"/>
      </w:pPr>
    </w:lvl>
    <w:lvl w:ilvl="1" w:tplc="0F6AD758" w:tentative="1">
      <w:start w:val="1"/>
      <w:numFmt w:val="decimal"/>
      <w:lvlText w:val="%2."/>
      <w:lvlJc w:val="left"/>
      <w:pPr>
        <w:tabs>
          <w:tab w:val="num" w:pos="1440"/>
        </w:tabs>
        <w:ind w:left="1440" w:hanging="360"/>
      </w:pPr>
    </w:lvl>
    <w:lvl w:ilvl="2" w:tplc="C49647F8" w:tentative="1">
      <w:start w:val="1"/>
      <w:numFmt w:val="decimal"/>
      <w:lvlText w:val="%3."/>
      <w:lvlJc w:val="left"/>
      <w:pPr>
        <w:tabs>
          <w:tab w:val="num" w:pos="2160"/>
        </w:tabs>
        <w:ind w:left="2160" w:hanging="360"/>
      </w:pPr>
    </w:lvl>
    <w:lvl w:ilvl="3" w:tplc="742E7CFE" w:tentative="1">
      <w:start w:val="1"/>
      <w:numFmt w:val="decimal"/>
      <w:lvlText w:val="%4."/>
      <w:lvlJc w:val="left"/>
      <w:pPr>
        <w:tabs>
          <w:tab w:val="num" w:pos="2880"/>
        </w:tabs>
        <w:ind w:left="2880" w:hanging="360"/>
      </w:pPr>
    </w:lvl>
    <w:lvl w:ilvl="4" w:tplc="A60ED94E" w:tentative="1">
      <w:start w:val="1"/>
      <w:numFmt w:val="decimal"/>
      <w:lvlText w:val="%5."/>
      <w:lvlJc w:val="left"/>
      <w:pPr>
        <w:tabs>
          <w:tab w:val="num" w:pos="3600"/>
        </w:tabs>
        <w:ind w:left="3600" w:hanging="360"/>
      </w:pPr>
    </w:lvl>
    <w:lvl w:ilvl="5" w:tplc="082004DE" w:tentative="1">
      <w:start w:val="1"/>
      <w:numFmt w:val="decimal"/>
      <w:lvlText w:val="%6."/>
      <w:lvlJc w:val="left"/>
      <w:pPr>
        <w:tabs>
          <w:tab w:val="num" w:pos="4320"/>
        </w:tabs>
        <w:ind w:left="4320" w:hanging="360"/>
      </w:pPr>
    </w:lvl>
    <w:lvl w:ilvl="6" w:tplc="02887C7A" w:tentative="1">
      <w:start w:val="1"/>
      <w:numFmt w:val="decimal"/>
      <w:lvlText w:val="%7."/>
      <w:lvlJc w:val="left"/>
      <w:pPr>
        <w:tabs>
          <w:tab w:val="num" w:pos="5040"/>
        </w:tabs>
        <w:ind w:left="5040" w:hanging="360"/>
      </w:pPr>
    </w:lvl>
    <w:lvl w:ilvl="7" w:tplc="B4B29596" w:tentative="1">
      <w:start w:val="1"/>
      <w:numFmt w:val="decimal"/>
      <w:lvlText w:val="%8."/>
      <w:lvlJc w:val="left"/>
      <w:pPr>
        <w:tabs>
          <w:tab w:val="num" w:pos="5760"/>
        </w:tabs>
        <w:ind w:left="5760" w:hanging="360"/>
      </w:pPr>
    </w:lvl>
    <w:lvl w:ilvl="8" w:tplc="0B7AB67E" w:tentative="1">
      <w:start w:val="1"/>
      <w:numFmt w:val="decimal"/>
      <w:lvlText w:val="%9."/>
      <w:lvlJc w:val="left"/>
      <w:pPr>
        <w:tabs>
          <w:tab w:val="num" w:pos="6480"/>
        </w:tabs>
        <w:ind w:left="6480" w:hanging="360"/>
      </w:pPr>
    </w:lvl>
  </w:abstractNum>
  <w:num w:numId="1">
    <w:abstractNumId w:val="17"/>
  </w:num>
  <w:num w:numId="2">
    <w:abstractNumId w:val="11"/>
  </w:num>
  <w:num w:numId="3">
    <w:abstractNumId w:val="13"/>
  </w:num>
  <w:num w:numId="4">
    <w:abstractNumId w:val="5"/>
  </w:num>
  <w:num w:numId="5">
    <w:abstractNumId w:val="12"/>
  </w:num>
  <w:num w:numId="6">
    <w:abstractNumId w:val="7"/>
  </w:num>
  <w:num w:numId="7">
    <w:abstractNumId w:val="19"/>
  </w:num>
  <w:num w:numId="8">
    <w:abstractNumId w:val="16"/>
  </w:num>
  <w:num w:numId="9">
    <w:abstractNumId w:val="8"/>
  </w:num>
  <w:num w:numId="10">
    <w:abstractNumId w:val="15"/>
  </w:num>
  <w:num w:numId="11">
    <w:abstractNumId w:val="6"/>
  </w:num>
  <w:num w:numId="12">
    <w:abstractNumId w:val="18"/>
  </w:num>
  <w:num w:numId="13">
    <w:abstractNumId w:val="4"/>
  </w:num>
  <w:num w:numId="14">
    <w:abstractNumId w:val="0"/>
  </w:num>
  <w:num w:numId="15">
    <w:abstractNumId w:val="1"/>
  </w:num>
  <w:num w:numId="16">
    <w:abstractNumId w:val="9"/>
  </w:num>
  <w:num w:numId="17">
    <w:abstractNumId w:val="14"/>
  </w:num>
  <w:num w:numId="18">
    <w:abstractNumId w:val="10"/>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63"/>
    <w:rsid w:val="00006E84"/>
    <w:rsid w:val="00006FC2"/>
    <w:rsid w:val="000234C2"/>
    <w:rsid w:val="00030CA3"/>
    <w:rsid w:val="0003277C"/>
    <w:rsid w:val="000375F2"/>
    <w:rsid w:val="00044A02"/>
    <w:rsid w:val="00047500"/>
    <w:rsid w:val="00047533"/>
    <w:rsid w:val="000612AD"/>
    <w:rsid w:val="000823EC"/>
    <w:rsid w:val="000914BA"/>
    <w:rsid w:val="000917F1"/>
    <w:rsid w:val="000A4757"/>
    <w:rsid w:val="000B32BF"/>
    <w:rsid w:val="000B5557"/>
    <w:rsid w:val="000B5C52"/>
    <w:rsid w:val="000C1466"/>
    <w:rsid w:val="000C51F5"/>
    <w:rsid w:val="000C525F"/>
    <w:rsid w:val="000C7439"/>
    <w:rsid w:val="000D07CF"/>
    <w:rsid w:val="000D1330"/>
    <w:rsid w:val="000D1CF7"/>
    <w:rsid w:val="000D2144"/>
    <w:rsid w:val="000D5FA5"/>
    <w:rsid w:val="000E2FB4"/>
    <w:rsid w:val="000E52F9"/>
    <w:rsid w:val="000F7FA5"/>
    <w:rsid w:val="00100F05"/>
    <w:rsid w:val="0010427F"/>
    <w:rsid w:val="00105E13"/>
    <w:rsid w:val="001112A4"/>
    <w:rsid w:val="00113BA5"/>
    <w:rsid w:val="001168FB"/>
    <w:rsid w:val="00122308"/>
    <w:rsid w:val="00123FFF"/>
    <w:rsid w:val="00127518"/>
    <w:rsid w:val="00127595"/>
    <w:rsid w:val="00131827"/>
    <w:rsid w:val="0013272B"/>
    <w:rsid w:val="00133F6E"/>
    <w:rsid w:val="00134C36"/>
    <w:rsid w:val="00144B0D"/>
    <w:rsid w:val="00145857"/>
    <w:rsid w:val="0014747D"/>
    <w:rsid w:val="00155281"/>
    <w:rsid w:val="00155E13"/>
    <w:rsid w:val="001562E6"/>
    <w:rsid w:val="001665ED"/>
    <w:rsid w:val="00167D3D"/>
    <w:rsid w:val="00171001"/>
    <w:rsid w:val="001812E5"/>
    <w:rsid w:val="00181705"/>
    <w:rsid w:val="00197627"/>
    <w:rsid w:val="001A2A9A"/>
    <w:rsid w:val="001A7357"/>
    <w:rsid w:val="001A742E"/>
    <w:rsid w:val="001B149A"/>
    <w:rsid w:val="001B47CA"/>
    <w:rsid w:val="001B5DBD"/>
    <w:rsid w:val="001B72B3"/>
    <w:rsid w:val="001B7B7A"/>
    <w:rsid w:val="001C503E"/>
    <w:rsid w:val="001E1EBC"/>
    <w:rsid w:val="001E2473"/>
    <w:rsid w:val="00201406"/>
    <w:rsid w:val="00201B2D"/>
    <w:rsid w:val="00205B1B"/>
    <w:rsid w:val="0020774A"/>
    <w:rsid w:val="00207A4F"/>
    <w:rsid w:val="002107BB"/>
    <w:rsid w:val="0021268C"/>
    <w:rsid w:val="00215D66"/>
    <w:rsid w:val="002163E1"/>
    <w:rsid w:val="00220D74"/>
    <w:rsid w:val="002231AC"/>
    <w:rsid w:val="00227102"/>
    <w:rsid w:val="00230769"/>
    <w:rsid w:val="00231AF8"/>
    <w:rsid w:val="0024019A"/>
    <w:rsid w:val="002402A7"/>
    <w:rsid w:val="00250995"/>
    <w:rsid w:val="00254385"/>
    <w:rsid w:val="0026306C"/>
    <w:rsid w:val="00265E2C"/>
    <w:rsid w:val="002667AC"/>
    <w:rsid w:val="0027635C"/>
    <w:rsid w:val="00295065"/>
    <w:rsid w:val="00295FA9"/>
    <w:rsid w:val="00297345"/>
    <w:rsid w:val="00297F1F"/>
    <w:rsid w:val="002A0236"/>
    <w:rsid w:val="002A3050"/>
    <w:rsid w:val="002A7578"/>
    <w:rsid w:val="002B0256"/>
    <w:rsid w:val="002B26F4"/>
    <w:rsid w:val="002B4AF8"/>
    <w:rsid w:val="002C4463"/>
    <w:rsid w:val="002D5C01"/>
    <w:rsid w:val="002F3405"/>
    <w:rsid w:val="002F6C29"/>
    <w:rsid w:val="003008BC"/>
    <w:rsid w:val="00300B98"/>
    <w:rsid w:val="0030745D"/>
    <w:rsid w:val="00311A03"/>
    <w:rsid w:val="003171AD"/>
    <w:rsid w:val="00317AD2"/>
    <w:rsid w:val="00322901"/>
    <w:rsid w:val="00327DD1"/>
    <w:rsid w:val="0033560D"/>
    <w:rsid w:val="00336613"/>
    <w:rsid w:val="0034395C"/>
    <w:rsid w:val="00345170"/>
    <w:rsid w:val="003460F8"/>
    <w:rsid w:val="003541B3"/>
    <w:rsid w:val="00360326"/>
    <w:rsid w:val="003620E0"/>
    <w:rsid w:val="0036286D"/>
    <w:rsid w:val="00363F5D"/>
    <w:rsid w:val="0036535F"/>
    <w:rsid w:val="003658CF"/>
    <w:rsid w:val="003710C1"/>
    <w:rsid w:val="0037161C"/>
    <w:rsid w:val="00372235"/>
    <w:rsid w:val="00372B73"/>
    <w:rsid w:val="003851CB"/>
    <w:rsid w:val="003A589F"/>
    <w:rsid w:val="003B74D2"/>
    <w:rsid w:val="003C2C37"/>
    <w:rsid w:val="003C59D8"/>
    <w:rsid w:val="003D012C"/>
    <w:rsid w:val="003D1BAD"/>
    <w:rsid w:val="003E47AE"/>
    <w:rsid w:val="003E6CC9"/>
    <w:rsid w:val="003F1649"/>
    <w:rsid w:val="003F7ECB"/>
    <w:rsid w:val="0040007A"/>
    <w:rsid w:val="00406C00"/>
    <w:rsid w:val="00416721"/>
    <w:rsid w:val="004167BD"/>
    <w:rsid w:val="00417F08"/>
    <w:rsid w:val="0042073F"/>
    <w:rsid w:val="00423466"/>
    <w:rsid w:val="0042633D"/>
    <w:rsid w:val="0043125D"/>
    <w:rsid w:val="0043688B"/>
    <w:rsid w:val="00436E45"/>
    <w:rsid w:val="004408BB"/>
    <w:rsid w:val="0044209C"/>
    <w:rsid w:val="00444F47"/>
    <w:rsid w:val="0044637D"/>
    <w:rsid w:val="0044679B"/>
    <w:rsid w:val="00455375"/>
    <w:rsid w:val="00456C0A"/>
    <w:rsid w:val="00461A58"/>
    <w:rsid w:val="0046560C"/>
    <w:rsid w:val="00465951"/>
    <w:rsid w:val="00467C3F"/>
    <w:rsid w:val="00467CEF"/>
    <w:rsid w:val="00471345"/>
    <w:rsid w:val="004719A8"/>
    <w:rsid w:val="0047282F"/>
    <w:rsid w:val="004731BC"/>
    <w:rsid w:val="004775CA"/>
    <w:rsid w:val="004832F2"/>
    <w:rsid w:val="00485AED"/>
    <w:rsid w:val="00492490"/>
    <w:rsid w:val="004A0955"/>
    <w:rsid w:val="004A1238"/>
    <w:rsid w:val="004B0954"/>
    <w:rsid w:val="004B5AA1"/>
    <w:rsid w:val="004B673A"/>
    <w:rsid w:val="004B76E6"/>
    <w:rsid w:val="004B7DE9"/>
    <w:rsid w:val="004C19F6"/>
    <w:rsid w:val="004C2891"/>
    <w:rsid w:val="004C3CE9"/>
    <w:rsid w:val="004C53A3"/>
    <w:rsid w:val="004C6278"/>
    <w:rsid w:val="004D2A18"/>
    <w:rsid w:val="004D61AB"/>
    <w:rsid w:val="004D6E25"/>
    <w:rsid w:val="004E6E78"/>
    <w:rsid w:val="004F3A24"/>
    <w:rsid w:val="004F3EAD"/>
    <w:rsid w:val="0050269B"/>
    <w:rsid w:val="00502BF2"/>
    <w:rsid w:val="005124D5"/>
    <w:rsid w:val="00514F62"/>
    <w:rsid w:val="00521745"/>
    <w:rsid w:val="00530892"/>
    <w:rsid w:val="005325DA"/>
    <w:rsid w:val="00533393"/>
    <w:rsid w:val="00542AA4"/>
    <w:rsid w:val="00543BC1"/>
    <w:rsid w:val="00544046"/>
    <w:rsid w:val="00544B05"/>
    <w:rsid w:val="00546D95"/>
    <w:rsid w:val="005479DF"/>
    <w:rsid w:val="00550A74"/>
    <w:rsid w:val="0055489D"/>
    <w:rsid w:val="00567CE1"/>
    <w:rsid w:val="0057617B"/>
    <w:rsid w:val="005902F4"/>
    <w:rsid w:val="00594278"/>
    <w:rsid w:val="005948F6"/>
    <w:rsid w:val="00597F72"/>
    <w:rsid w:val="00597FAB"/>
    <w:rsid w:val="00597FD2"/>
    <w:rsid w:val="005A0CAF"/>
    <w:rsid w:val="005A52D2"/>
    <w:rsid w:val="005B3287"/>
    <w:rsid w:val="005B3490"/>
    <w:rsid w:val="005D5645"/>
    <w:rsid w:val="005E02D7"/>
    <w:rsid w:val="005E332A"/>
    <w:rsid w:val="005E6A11"/>
    <w:rsid w:val="005E6D17"/>
    <w:rsid w:val="005F0F05"/>
    <w:rsid w:val="00602237"/>
    <w:rsid w:val="00602692"/>
    <w:rsid w:val="0060745C"/>
    <w:rsid w:val="00612F5E"/>
    <w:rsid w:val="00614750"/>
    <w:rsid w:val="006178BD"/>
    <w:rsid w:val="006208EF"/>
    <w:rsid w:val="00642163"/>
    <w:rsid w:val="00650812"/>
    <w:rsid w:val="00664E68"/>
    <w:rsid w:val="00672715"/>
    <w:rsid w:val="006813F1"/>
    <w:rsid w:val="006832AD"/>
    <w:rsid w:val="00684782"/>
    <w:rsid w:val="006855B6"/>
    <w:rsid w:val="006865FF"/>
    <w:rsid w:val="00692DB8"/>
    <w:rsid w:val="006A0FA8"/>
    <w:rsid w:val="006A1343"/>
    <w:rsid w:val="006A23B8"/>
    <w:rsid w:val="006A3187"/>
    <w:rsid w:val="006A6848"/>
    <w:rsid w:val="006B1B21"/>
    <w:rsid w:val="006B352B"/>
    <w:rsid w:val="006B6DBF"/>
    <w:rsid w:val="006C0FF5"/>
    <w:rsid w:val="006C1677"/>
    <w:rsid w:val="006C3FDA"/>
    <w:rsid w:val="006C5C56"/>
    <w:rsid w:val="006C627C"/>
    <w:rsid w:val="006D2AD5"/>
    <w:rsid w:val="006D5E0B"/>
    <w:rsid w:val="006E1953"/>
    <w:rsid w:val="006E222A"/>
    <w:rsid w:val="006E5715"/>
    <w:rsid w:val="006F7006"/>
    <w:rsid w:val="00703649"/>
    <w:rsid w:val="00704CC7"/>
    <w:rsid w:val="00706B94"/>
    <w:rsid w:val="007105CA"/>
    <w:rsid w:val="00710BD3"/>
    <w:rsid w:val="0071686A"/>
    <w:rsid w:val="00731E88"/>
    <w:rsid w:val="00735DA7"/>
    <w:rsid w:val="007374BC"/>
    <w:rsid w:val="00741C25"/>
    <w:rsid w:val="00742117"/>
    <w:rsid w:val="007423F3"/>
    <w:rsid w:val="00742A1A"/>
    <w:rsid w:val="00746678"/>
    <w:rsid w:val="00756BC5"/>
    <w:rsid w:val="00762147"/>
    <w:rsid w:val="00763129"/>
    <w:rsid w:val="00765C77"/>
    <w:rsid w:val="007728F2"/>
    <w:rsid w:val="0077298D"/>
    <w:rsid w:val="007820B5"/>
    <w:rsid w:val="0078520A"/>
    <w:rsid w:val="0078743D"/>
    <w:rsid w:val="007955C9"/>
    <w:rsid w:val="007A522B"/>
    <w:rsid w:val="007A53D4"/>
    <w:rsid w:val="007B1B59"/>
    <w:rsid w:val="007B3603"/>
    <w:rsid w:val="007B5270"/>
    <w:rsid w:val="007B5C91"/>
    <w:rsid w:val="007C3F18"/>
    <w:rsid w:val="007D0926"/>
    <w:rsid w:val="007D0EBA"/>
    <w:rsid w:val="007D382E"/>
    <w:rsid w:val="007D3B2E"/>
    <w:rsid w:val="007D5D4F"/>
    <w:rsid w:val="007D6BB0"/>
    <w:rsid w:val="007E0B67"/>
    <w:rsid w:val="007E3A1D"/>
    <w:rsid w:val="007F4F08"/>
    <w:rsid w:val="007F5878"/>
    <w:rsid w:val="007F7037"/>
    <w:rsid w:val="0080071A"/>
    <w:rsid w:val="00801534"/>
    <w:rsid w:val="00803E18"/>
    <w:rsid w:val="00815D86"/>
    <w:rsid w:val="00817DE3"/>
    <w:rsid w:val="00820645"/>
    <w:rsid w:val="00821187"/>
    <w:rsid w:val="00822079"/>
    <w:rsid w:val="00826B7D"/>
    <w:rsid w:val="00827CD8"/>
    <w:rsid w:val="00833671"/>
    <w:rsid w:val="00840314"/>
    <w:rsid w:val="00851437"/>
    <w:rsid w:val="00861220"/>
    <w:rsid w:val="00864BF1"/>
    <w:rsid w:val="00866666"/>
    <w:rsid w:val="0086685F"/>
    <w:rsid w:val="0087044E"/>
    <w:rsid w:val="00876F67"/>
    <w:rsid w:val="00877DD9"/>
    <w:rsid w:val="00880862"/>
    <w:rsid w:val="00883DF7"/>
    <w:rsid w:val="008972A4"/>
    <w:rsid w:val="008A6D2C"/>
    <w:rsid w:val="008B3AF8"/>
    <w:rsid w:val="008C0766"/>
    <w:rsid w:val="008C269E"/>
    <w:rsid w:val="008C2CB1"/>
    <w:rsid w:val="008C4217"/>
    <w:rsid w:val="008C460A"/>
    <w:rsid w:val="008C6A6A"/>
    <w:rsid w:val="008D649B"/>
    <w:rsid w:val="008D7C84"/>
    <w:rsid w:val="008E7868"/>
    <w:rsid w:val="008F12B3"/>
    <w:rsid w:val="008F1F37"/>
    <w:rsid w:val="008F4697"/>
    <w:rsid w:val="00911C1A"/>
    <w:rsid w:val="00914FDD"/>
    <w:rsid w:val="009171CC"/>
    <w:rsid w:val="00917577"/>
    <w:rsid w:val="00923A8F"/>
    <w:rsid w:val="00925354"/>
    <w:rsid w:val="0093692C"/>
    <w:rsid w:val="00940799"/>
    <w:rsid w:val="009444E3"/>
    <w:rsid w:val="009510F6"/>
    <w:rsid w:val="009516F5"/>
    <w:rsid w:val="00952C8E"/>
    <w:rsid w:val="00955214"/>
    <w:rsid w:val="009574EB"/>
    <w:rsid w:val="00963AF8"/>
    <w:rsid w:val="00972268"/>
    <w:rsid w:val="00975CB0"/>
    <w:rsid w:val="00987321"/>
    <w:rsid w:val="009971B9"/>
    <w:rsid w:val="009B36CA"/>
    <w:rsid w:val="009B3BC1"/>
    <w:rsid w:val="009B4003"/>
    <w:rsid w:val="009B5DAD"/>
    <w:rsid w:val="009B786D"/>
    <w:rsid w:val="009D49B6"/>
    <w:rsid w:val="009D6ECA"/>
    <w:rsid w:val="009E2C7A"/>
    <w:rsid w:val="009E61F3"/>
    <w:rsid w:val="009E7550"/>
    <w:rsid w:val="009E7B43"/>
    <w:rsid w:val="009F1CFC"/>
    <w:rsid w:val="009F2C63"/>
    <w:rsid w:val="009F791D"/>
    <w:rsid w:val="00A02A2B"/>
    <w:rsid w:val="00A04439"/>
    <w:rsid w:val="00A068C3"/>
    <w:rsid w:val="00A07ED5"/>
    <w:rsid w:val="00A17FAE"/>
    <w:rsid w:val="00A2066F"/>
    <w:rsid w:val="00A2215F"/>
    <w:rsid w:val="00A22B21"/>
    <w:rsid w:val="00A31FE7"/>
    <w:rsid w:val="00A345F9"/>
    <w:rsid w:val="00A40391"/>
    <w:rsid w:val="00A40535"/>
    <w:rsid w:val="00A439C1"/>
    <w:rsid w:val="00A4452B"/>
    <w:rsid w:val="00A6316E"/>
    <w:rsid w:val="00A77160"/>
    <w:rsid w:val="00A90E46"/>
    <w:rsid w:val="00A93672"/>
    <w:rsid w:val="00A94968"/>
    <w:rsid w:val="00AA1E21"/>
    <w:rsid w:val="00AB6273"/>
    <w:rsid w:val="00AC2BA2"/>
    <w:rsid w:val="00AC3903"/>
    <w:rsid w:val="00AC4A3B"/>
    <w:rsid w:val="00AC5A1C"/>
    <w:rsid w:val="00AC7FB5"/>
    <w:rsid w:val="00AD47C2"/>
    <w:rsid w:val="00AE3C8F"/>
    <w:rsid w:val="00AE7523"/>
    <w:rsid w:val="00AF03B9"/>
    <w:rsid w:val="00AF1786"/>
    <w:rsid w:val="00AF1D4A"/>
    <w:rsid w:val="00AF4459"/>
    <w:rsid w:val="00B0090C"/>
    <w:rsid w:val="00B00A0A"/>
    <w:rsid w:val="00B04284"/>
    <w:rsid w:val="00B06304"/>
    <w:rsid w:val="00B13D36"/>
    <w:rsid w:val="00B17D20"/>
    <w:rsid w:val="00B2042A"/>
    <w:rsid w:val="00B33780"/>
    <w:rsid w:val="00B338C6"/>
    <w:rsid w:val="00B47310"/>
    <w:rsid w:val="00B54D63"/>
    <w:rsid w:val="00B55244"/>
    <w:rsid w:val="00B7169B"/>
    <w:rsid w:val="00B723ED"/>
    <w:rsid w:val="00B72C91"/>
    <w:rsid w:val="00B75828"/>
    <w:rsid w:val="00B83436"/>
    <w:rsid w:val="00B87739"/>
    <w:rsid w:val="00B91182"/>
    <w:rsid w:val="00B9194D"/>
    <w:rsid w:val="00B955D5"/>
    <w:rsid w:val="00BA11EF"/>
    <w:rsid w:val="00BA6EAD"/>
    <w:rsid w:val="00BB09AC"/>
    <w:rsid w:val="00BB3E39"/>
    <w:rsid w:val="00BB505A"/>
    <w:rsid w:val="00BC5844"/>
    <w:rsid w:val="00BD22DA"/>
    <w:rsid w:val="00BD2F8F"/>
    <w:rsid w:val="00BD42AF"/>
    <w:rsid w:val="00BE51E0"/>
    <w:rsid w:val="00BE6F3B"/>
    <w:rsid w:val="00BE77A0"/>
    <w:rsid w:val="00BF2565"/>
    <w:rsid w:val="00BF2CCF"/>
    <w:rsid w:val="00BF4806"/>
    <w:rsid w:val="00BF61AF"/>
    <w:rsid w:val="00C066FA"/>
    <w:rsid w:val="00C10F01"/>
    <w:rsid w:val="00C17319"/>
    <w:rsid w:val="00C25D09"/>
    <w:rsid w:val="00C27AED"/>
    <w:rsid w:val="00C33A5D"/>
    <w:rsid w:val="00C3532F"/>
    <w:rsid w:val="00C46C3A"/>
    <w:rsid w:val="00C46EE9"/>
    <w:rsid w:val="00C5594D"/>
    <w:rsid w:val="00C564EB"/>
    <w:rsid w:val="00C5711F"/>
    <w:rsid w:val="00C60424"/>
    <w:rsid w:val="00C644B5"/>
    <w:rsid w:val="00C669D9"/>
    <w:rsid w:val="00C703F7"/>
    <w:rsid w:val="00C7040A"/>
    <w:rsid w:val="00C70C6A"/>
    <w:rsid w:val="00C75FCA"/>
    <w:rsid w:val="00C9310E"/>
    <w:rsid w:val="00C93660"/>
    <w:rsid w:val="00C96EBC"/>
    <w:rsid w:val="00CA0ED2"/>
    <w:rsid w:val="00CA5A51"/>
    <w:rsid w:val="00CB2060"/>
    <w:rsid w:val="00CB3ECB"/>
    <w:rsid w:val="00CB57D9"/>
    <w:rsid w:val="00CC0948"/>
    <w:rsid w:val="00CC63C4"/>
    <w:rsid w:val="00CC7F24"/>
    <w:rsid w:val="00CD4CF5"/>
    <w:rsid w:val="00CF3863"/>
    <w:rsid w:val="00CF6F82"/>
    <w:rsid w:val="00D03CFB"/>
    <w:rsid w:val="00D058BC"/>
    <w:rsid w:val="00D07828"/>
    <w:rsid w:val="00D13E38"/>
    <w:rsid w:val="00D21538"/>
    <w:rsid w:val="00D24581"/>
    <w:rsid w:val="00D26AB7"/>
    <w:rsid w:val="00D340C2"/>
    <w:rsid w:val="00D3513B"/>
    <w:rsid w:val="00D351B5"/>
    <w:rsid w:val="00D37E58"/>
    <w:rsid w:val="00D40DF3"/>
    <w:rsid w:val="00D479F6"/>
    <w:rsid w:val="00D519BE"/>
    <w:rsid w:val="00D548A6"/>
    <w:rsid w:val="00D5588A"/>
    <w:rsid w:val="00D57E61"/>
    <w:rsid w:val="00D62D73"/>
    <w:rsid w:val="00D63432"/>
    <w:rsid w:val="00D670B3"/>
    <w:rsid w:val="00D72919"/>
    <w:rsid w:val="00D73874"/>
    <w:rsid w:val="00D772E3"/>
    <w:rsid w:val="00D85D05"/>
    <w:rsid w:val="00D937B8"/>
    <w:rsid w:val="00D97CEB"/>
    <w:rsid w:val="00DA348B"/>
    <w:rsid w:val="00DC0B02"/>
    <w:rsid w:val="00DC0CA3"/>
    <w:rsid w:val="00DC1B01"/>
    <w:rsid w:val="00DD3253"/>
    <w:rsid w:val="00DE2CD6"/>
    <w:rsid w:val="00DE66D6"/>
    <w:rsid w:val="00DF4528"/>
    <w:rsid w:val="00E07845"/>
    <w:rsid w:val="00E07D49"/>
    <w:rsid w:val="00E10554"/>
    <w:rsid w:val="00E17153"/>
    <w:rsid w:val="00E20728"/>
    <w:rsid w:val="00E20F24"/>
    <w:rsid w:val="00E21ECC"/>
    <w:rsid w:val="00E2421A"/>
    <w:rsid w:val="00E307D2"/>
    <w:rsid w:val="00E30BA5"/>
    <w:rsid w:val="00E35976"/>
    <w:rsid w:val="00E37D62"/>
    <w:rsid w:val="00E43E1F"/>
    <w:rsid w:val="00E473CB"/>
    <w:rsid w:val="00E51ADC"/>
    <w:rsid w:val="00E560C8"/>
    <w:rsid w:val="00E5685C"/>
    <w:rsid w:val="00E60613"/>
    <w:rsid w:val="00E63E93"/>
    <w:rsid w:val="00E701F2"/>
    <w:rsid w:val="00E74D3E"/>
    <w:rsid w:val="00E750C0"/>
    <w:rsid w:val="00E76D05"/>
    <w:rsid w:val="00E80E86"/>
    <w:rsid w:val="00E86267"/>
    <w:rsid w:val="00E93E53"/>
    <w:rsid w:val="00E963E5"/>
    <w:rsid w:val="00EA2402"/>
    <w:rsid w:val="00EA5418"/>
    <w:rsid w:val="00EB6E2E"/>
    <w:rsid w:val="00EC4C72"/>
    <w:rsid w:val="00EC7CB9"/>
    <w:rsid w:val="00EE0FA4"/>
    <w:rsid w:val="00EE66BA"/>
    <w:rsid w:val="00EF6A1F"/>
    <w:rsid w:val="00F045A2"/>
    <w:rsid w:val="00F113C5"/>
    <w:rsid w:val="00F1422E"/>
    <w:rsid w:val="00F21721"/>
    <w:rsid w:val="00F23F2D"/>
    <w:rsid w:val="00F504AB"/>
    <w:rsid w:val="00F5483E"/>
    <w:rsid w:val="00F64CED"/>
    <w:rsid w:val="00F70A6A"/>
    <w:rsid w:val="00F72AD7"/>
    <w:rsid w:val="00F74C6A"/>
    <w:rsid w:val="00F824E9"/>
    <w:rsid w:val="00F857B5"/>
    <w:rsid w:val="00F90A27"/>
    <w:rsid w:val="00FA0304"/>
    <w:rsid w:val="00FA0BB5"/>
    <w:rsid w:val="00FA4F13"/>
    <w:rsid w:val="00FA5A19"/>
    <w:rsid w:val="00FB1757"/>
    <w:rsid w:val="00FB3BD4"/>
    <w:rsid w:val="00FB446F"/>
    <w:rsid w:val="00FC1869"/>
    <w:rsid w:val="00FC1BDA"/>
    <w:rsid w:val="00FC79A4"/>
    <w:rsid w:val="00FD0E43"/>
    <w:rsid w:val="00FD2BA0"/>
    <w:rsid w:val="00FE5AEB"/>
    <w:rsid w:val="00FE7380"/>
    <w:rsid w:val="00FF103B"/>
    <w:rsid w:val="00FF5FBE"/>
    <w:rsid w:val="00FF7D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17B7D98C"/>
  <w15:docId w15:val="{7AB5D55D-B455-4DB7-80A8-E808A364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B0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C63"/>
    <w:pPr>
      <w:ind w:left="720"/>
      <w:contextualSpacing/>
    </w:pPr>
  </w:style>
  <w:style w:type="paragraph" w:styleId="BalloonText">
    <w:name w:val="Balloon Text"/>
    <w:basedOn w:val="Normal"/>
    <w:link w:val="BalloonTextChar"/>
    <w:uiPriority w:val="99"/>
    <w:semiHidden/>
    <w:unhideWhenUsed/>
    <w:rsid w:val="009F2C63"/>
    <w:rPr>
      <w:rFonts w:ascii="Lucida Grande" w:hAnsi="Lucida Grande"/>
      <w:sz w:val="18"/>
      <w:szCs w:val="18"/>
    </w:rPr>
  </w:style>
  <w:style w:type="character" w:customStyle="1" w:styleId="BalloonTextChar">
    <w:name w:val="Balloon Text Char"/>
    <w:basedOn w:val="DefaultParagraphFont"/>
    <w:link w:val="BalloonText"/>
    <w:uiPriority w:val="99"/>
    <w:semiHidden/>
    <w:rsid w:val="009F2C63"/>
    <w:rPr>
      <w:rFonts w:ascii="Lucida Grande" w:hAnsi="Lucida Grande"/>
      <w:sz w:val="18"/>
      <w:szCs w:val="18"/>
    </w:rPr>
  </w:style>
  <w:style w:type="paragraph" w:styleId="NormalWeb">
    <w:name w:val="Normal (Web)"/>
    <w:basedOn w:val="Normal"/>
    <w:uiPriority w:val="99"/>
    <w:semiHidden/>
    <w:unhideWhenUsed/>
    <w:rsid w:val="0074211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20645"/>
    <w:rPr>
      <w:color w:val="0000FF" w:themeColor="hyperlink"/>
      <w:u w:val="single"/>
    </w:rPr>
  </w:style>
  <w:style w:type="character" w:styleId="FollowedHyperlink">
    <w:name w:val="FollowedHyperlink"/>
    <w:basedOn w:val="DefaultParagraphFont"/>
    <w:uiPriority w:val="99"/>
    <w:semiHidden/>
    <w:unhideWhenUsed/>
    <w:rsid w:val="00741C25"/>
    <w:rPr>
      <w:color w:val="800080" w:themeColor="followedHyperlink"/>
      <w:u w:val="single"/>
    </w:rPr>
  </w:style>
  <w:style w:type="character" w:styleId="PlaceholderText">
    <w:name w:val="Placeholder Text"/>
    <w:basedOn w:val="DefaultParagraphFont"/>
    <w:uiPriority w:val="99"/>
    <w:semiHidden/>
    <w:rsid w:val="00D351B5"/>
    <w:rPr>
      <w:color w:val="808080"/>
    </w:rPr>
  </w:style>
  <w:style w:type="paragraph" w:styleId="Footer">
    <w:name w:val="footer"/>
    <w:basedOn w:val="Normal"/>
    <w:link w:val="FooterChar"/>
    <w:uiPriority w:val="99"/>
    <w:unhideWhenUsed/>
    <w:rsid w:val="00AD47C2"/>
    <w:pPr>
      <w:tabs>
        <w:tab w:val="center" w:pos="4320"/>
        <w:tab w:val="right" w:pos="8640"/>
      </w:tabs>
    </w:pPr>
  </w:style>
  <w:style w:type="character" w:customStyle="1" w:styleId="FooterChar">
    <w:name w:val="Footer Char"/>
    <w:basedOn w:val="DefaultParagraphFont"/>
    <w:link w:val="Footer"/>
    <w:uiPriority w:val="99"/>
    <w:rsid w:val="00AD47C2"/>
  </w:style>
  <w:style w:type="character" w:styleId="PageNumber">
    <w:name w:val="page number"/>
    <w:basedOn w:val="DefaultParagraphFont"/>
    <w:uiPriority w:val="99"/>
    <w:semiHidden/>
    <w:unhideWhenUsed/>
    <w:rsid w:val="00AD47C2"/>
  </w:style>
  <w:style w:type="character" w:styleId="CommentReference">
    <w:name w:val="annotation reference"/>
    <w:basedOn w:val="DefaultParagraphFont"/>
    <w:uiPriority w:val="99"/>
    <w:semiHidden/>
    <w:unhideWhenUsed/>
    <w:rsid w:val="00EB6E2E"/>
    <w:rPr>
      <w:sz w:val="18"/>
      <w:szCs w:val="18"/>
    </w:rPr>
  </w:style>
  <w:style w:type="paragraph" w:styleId="CommentText">
    <w:name w:val="annotation text"/>
    <w:basedOn w:val="Normal"/>
    <w:link w:val="CommentTextChar"/>
    <w:uiPriority w:val="99"/>
    <w:semiHidden/>
    <w:unhideWhenUsed/>
    <w:rsid w:val="00EB6E2E"/>
  </w:style>
  <w:style w:type="character" w:customStyle="1" w:styleId="CommentTextChar">
    <w:name w:val="Comment Text Char"/>
    <w:basedOn w:val="DefaultParagraphFont"/>
    <w:link w:val="CommentText"/>
    <w:uiPriority w:val="99"/>
    <w:semiHidden/>
    <w:rsid w:val="00EB6E2E"/>
  </w:style>
  <w:style w:type="paragraph" w:styleId="CommentSubject">
    <w:name w:val="annotation subject"/>
    <w:basedOn w:val="CommentText"/>
    <w:next w:val="CommentText"/>
    <w:link w:val="CommentSubjectChar"/>
    <w:uiPriority w:val="99"/>
    <w:semiHidden/>
    <w:unhideWhenUsed/>
    <w:rsid w:val="00EB6E2E"/>
    <w:rPr>
      <w:b/>
      <w:bCs/>
      <w:sz w:val="20"/>
      <w:szCs w:val="20"/>
    </w:rPr>
  </w:style>
  <w:style w:type="character" w:customStyle="1" w:styleId="CommentSubjectChar">
    <w:name w:val="Comment Subject Char"/>
    <w:basedOn w:val="CommentTextChar"/>
    <w:link w:val="CommentSubject"/>
    <w:uiPriority w:val="99"/>
    <w:semiHidden/>
    <w:rsid w:val="00EB6E2E"/>
    <w:rPr>
      <w:b/>
      <w:bCs/>
      <w:sz w:val="20"/>
      <w:szCs w:val="20"/>
    </w:rPr>
  </w:style>
  <w:style w:type="paragraph" w:styleId="Header">
    <w:name w:val="header"/>
    <w:basedOn w:val="Normal"/>
    <w:link w:val="HeaderChar"/>
    <w:uiPriority w:val="99"/>
    <w:unhideWhenUsed/>
    <w:rsid w:val="004775CA"/>
    <w:pPr>
      <w:tabs>
        <w:tab w:val="center" w:pos="4320"/>
        <w:tab w:val="right" w:pos="8640"/>
      </w:tabs>
    </w:pPr>
  </w:style>
  <w:style w:type="character" w:customStyle="1" w:styleId="HeaderChar">
    <w:name w:val="Header Char"/>
    <w:basedOn w:val="DefaultParagraphFont"/>
    <w:link w:val="Header"/>
    <w:uiPriority w:val="99"/>
    <w:rsid w:val="004775CA"/>
  </w:style>
  <w:style w:type="table" w:styleId="TableGrid">
    <w:name w:val="Table Grid"/>
    <w:basedOn w:val="TableNormal"/>
    <w:uiPriority w:val="59"/>
    <w:rsid w:val="001B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4B0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4379">
      <w:bodyDiv w:val="1"/>
      <w:marLeft w:val="0"/>
      <w:marRight w:val="0"/>
      <w:marTop w:val="0"/>
      <w:marBottom w:val="0"/>
      <w:divBdr>
        <w:top w:val="none" w:sz="0" w:space="0" w:color="auto"/>
        <w:left w:val="none" w:sz="0" w:space="0" w:color="auto"/>
        <w:bottom w:val="none" w:sz="0" w:space="0" w:color="auto"/>
        <w:right w:val="none" w:sz="0" w:space="0" w:color="auto"/>
      </w:divBdr>
      <w:divsChild>
        <w:div w:id="66613660">
          <w:marLeft w:val="0"/>
          <w:marRight w:val="0"/>
          <w:marTop w:val="0"/>
          <w:marBottom w:val="0"/>
          <w:divBdr>
            <w:top w:val="none" w:sz="0" w:space="0" w:color="auto"/>
            <w:left w:val="none" w:sz="0" w:space="0" w:color="auto"/>
            <w:bottom w:val="none" w:sz="0" w:space="0" w:color="auto"/>
            <w:right w:val="none" w:sz="0" w:space="0" w:color="auto"/>
          </w:divBdr>
        </w:div>
        <w:div w:id="377433010">
          <w:marLeft w:val="0"/>
          <w:marRight w:val="0"/>
          <w:marTop w:val="0"/>
          <w:marBottom w:val="0"/>
          <w:divBdr>
            <w:top w:val="none" w:sz="0" w:space="0" w:color="auto"/>
            <w:left w:val="none" w:sz="0" w:space="0" w:color="auto"/>
            <w:bottom w:val="none" w:sz="0" w:space="0" w:color="auto"/>
            <w:right w:val="none" w:sz="0" w:space="0" w:color="auto"/>
          </w:divBdr>
        </w:div>
        <w:div w:id="1743134578">
          <w:marLeft w:val="0"/>
          <w:marRight w:val="0"/>
          <w:marTop w:val="0"/>
          <w:marBottom w:val="0"/>
          <w:divBdr>
            <w:top w:val="none" w:sz="0" w:space="0" w:color="auto"/>
            <w:left w:val="none" w:sz="0" w:space="0" w:color="auto"/>
            <w:bottom w:val="none" w:sz="0" w:space="0" w:color="auto"/>
            <w:right w:val="none" w:sz="0" w:space="0" w:color="auto"/>
          </w:divBdr>
        </w:div>
        <w:div w:id="1929922601">
          <w:marLeft w:val="0"/>
          <w:marRight w:val="0"/>
          <w:marTop w:val="0"/>
          <w:marBottom w:val="0"/>
          <w:divBdr>
            <w:top w:val="none" w:sz="0" w:space="0" w:color="auto"/>
            <w:left w:val="none" w:sz="0" w:space="0" w:color="auto"/>
            <w:bottom w:val="none" w:sz="0" w:space="0" w:color="auto"/>
            <w:right w:val="none" w:sz="0" w:space="0" w:color="auto"/>
          </w:divBdr>
        </w:div>
        <w:div w:id="2078279266">
          <w:marLeft w:val="0"/>
          <w:marRight w:val="0"/>
          <w:marTop w:val="0"/>
          <w:marBottom w:val="0"/>
          <w:divBdr>
            <w:top w:val="none" w:sz="0" w:space="0" w:color="auto"/>
            <w:left w:val="none" w:sz="0" w:space="0" w:color="auto"/>
            <w:bottom w:val="none" w:sz="0" w:space="0" w:color="auto"/>
            <w:right w:val="none" w:sz="0" w:space="0" w:color="auto"/>
          </w:divBdr>
        </w:div>
        <w:div w:id="1961112127">
          <w:marLeft w:val="0"/>
          <w:marRight w:val="0"/>
          <w:marTop w:val="0"/>
          <w:marBottom w:val="0"/>
          <w:divBdr>
            <w:top w:val="none" w:sz="0" w:space="0" w:color="auto"/>
            <w:left w:val="none" w:sz="0" w:space="0" w:color="auto"/>
            <w:bottom w:val="none" w:sz="0" w:space="0" w:color="auto"/>
            <w:right w:val="none" w:sz="0" w:space="0" w:color="auto"/>
          </w:divBdr>
        </w:div>
        <w:div w:id="577053784">
          <w:marLeft w:val="0"/>
          <w:marRight w:val="0"/>
          <w:marTop w:val="0"/>
          <w:marBottom w:val="0"/>
          <w:divBdr>
            <w:top w:val="none" w:sz="0" w:space="0" w:color="auto"/>
            <w:left w:val="none" w:sz="0" w:space="0" w:color="auto"/>
            <w:bottom w:val="none" w:sz="0" w:space="0" w:color="auto"/>
            <w:right w:val="none" w:sz="0" w:space="0" w:color="auto"/>
          </w:divBdr>
        </w:div>
        <w:div w:id="1401367269">
          <w:marLeft w:val="0"/>
          <w:marRight w:val="0"/>
          <w:marTop w:val="0"/>
          <w:marBottom w:val="0"/>
          <w:divBdr>
            <w:top w:val="none" w:sz="0" w:space="0" w:color="auto"/>
            <w:left w:val="none" w:sz="0" w:space="0" w:color="auto"/>
            <w:bottom w:val="none" w:sz="0" w:space="0" w:color="auto"/>
            <w:right w:val="none" w:sz="0" w:space="0" w:color="auto"/>
          </w:divBdr>
        </w:div>
        <w:div w:id="570193957">
          <w:marLeft w:val="0"/>
          <w:marRight w:val="0"/>
          <w:marTop w:val="0"/>
          <w:marBottom w:val="0"/>
          <w:divBdr>
            <w:top w:val="none" w:sz="0" w:space="0" w:color="auto"/>
            <w:left w:val="none" w:sz="0" w:space="0" w:color="auto"/>
            <w:bottom w:val="none" w:sz="0" w:space="0" w:color="auto"/>
            <w:right w:val="none" w:sz="0" w:space="0" w:color="auto"/>
          </w:divBdr>
        </w:div>
        <w:div w:id="1371371860">
          <w:marLeft w:val="0"/>
          <w:marRight w:val="0"/>
          <w:marTop w:val="0"/>
          <w:marBottom w:val="0"/>
          <w:divBdr>
            <w:top w:val="none" w:sz="0" w:space="0" w:color="auto"/>
            <w:left w:val="none" w:sz="0" w:space="0" w:color="auto"/>
            <w:bottom w:val="none" w:sz="0" w:space="0" w:color="auto"/>
            <w:right w:val="none" w:sz="0" w:space="0" w:color="auto"/>
          </w:divBdr>
        </w:div>
        <w:div w:id="651369186">
          <w:marLeft w:val="0"/>
          <w:marRight w:val="0"/>
          <w:marTop w:val="0"/>
          <w:marBottom w:val="0"/>
          <w:divBdr>
            <w:top w:val="none" w:sz="0" w:space="0" w:color="auto"/>
            <w:left w:val="none" w:sz="0" w:space="0" w:color="auto"/>
            <w:bottom w:val="none" w:sz="0" w:space="0" w:color="auto"/>
            <w:right w:val="none" w:sz="0" w:space="0" w:color="auto"/>
          </w:divBdr>
        </w:div>
        <w:div w:id="1610550624">
          <w:marLeft w:val="0"/>
          <w:marRight w:val="0"/>
          <w:marTop w:val="0"/>
          <w:marBottom w:val="0"/>
          <w:divBdr>
            <w:top w:val="none" w:sz="0" w:space="0" w:color="auto"/>
            <w:left w:val="none" w:sz="0" w:space="0" w:color="auto"/>
            <w:bottom w:val="none" w:sz="0" w:space="0" w:color="auto"/>
            <w:right w:val="none" w:sz="0" w:space="0" w:color="auto"/>
          </w:divBdr>
        </w:div>
        <w:div w:id="361706097">
          <w:marLeft w:val="0"/>
          <w:marRight w:val="0"/>
          <w:marTop w:val="0"/>
          <w:marBottom w:val="0"/>
          <w:divBdr>
            <w:top w:val="none" w:sz="0" w:space="0" w:color="auto"/>
            <w:left w:val="none" w:sz="0" w:space="0" w:color="auto"/>
            <w:bottom w:val="none" w:sz="0" w:space="0" w:color="auto"/>
            <w:right w:val="none" w:sz="0" w:space="0" w:color="auto"/>
          </w:divBdr>
        </w:div>
        <w:div w:id="912741362">
          <w:marLeft w:val="0"/>
          <w:marRight w:val="0"/>
          <w:marTop w:val="0"/>
          <w:marBottom w:val="0"/>
          <w:divBdr>
            <w:top w:val="none" w:sz="0" w:space="0" w:color="auto"/>
            <w:left w:val="none" w:sz="0" w:space="0" w:color="auto"/>
            <w:bottom w:val="none" w:sz="0" w:space="0" w:color="auto"/>
            <w:right w:val="none" w:sz="0" w:space="0" w:color="auto"/>
          </w:divBdr>
        </w:div>
        <w:div w:id="209877890">
          <w:marLeft w:val="0"/>
          <w:marRight w:val="0"/>
          <w:marTop w:val="0"/>
          <w:marBottom w:val="0"/>
          <w:divBdr>
            <w:top w:val="none" w:sz="0" w:space="0" w:color="auto"/>
            <w:left w:val="none" w:sz="0" w:space="0" w:color="auto"/>
            <w:bottom w:val="none" w:sz="0" w:space="0" w:color="auto"/>
            <w:right w:val="none" w:sz="0" w:space="0" w:color="auto"/>
          </w:divBdr>
        </w:div>
        <w:div w:id="1181818815">
          <w:marLeft w:val="0"/>
          <w:marRight w:val="0"/>
          <w:marTop w:val="0"/>
          <w:marBottom w:val="0"/>
          <w:divBdr>
            <w:top w:val="none" w:sz="0" w:space="0" w:color="auto"/>
            <w:left w:val="none" w:sz="0" w:space="0" w:color="auto"/>
            <w:bottom w:val="none" w:sz="0" w:space="0" w:color="auto"/>
            <w:right w:val="none" w:sz="0" w:space="0" w:color="auto"/>
          </w:divBdr>
        </w:div>
        <w:div w:id="26612025">
          <w:marLeft w:val="0"/>
          <w:marRight w:val="0"/>
          <w:marTop w:val="0"/>
          <w:marBottom w:val="0"/>
          <w:divBdr>
            <w:top w:val="none" w:sz="0" w:space="0" w:color="auto"/>
            <w:left w:val="none" w:sz="0" w:space="0" w:color="auto"/>
            <w:bottom w:val="none" w:sz="0" w:space="0" w:color="auto"/>
            <w:right w:val="none" w:sz="0" w:space="0" w:color="auto"/>
          </w:divBdr>
        </w:div>
        <w:div w:id="970478979">
          <w:marLeft w:val="0"/>
          <w:marRight w:val="0"/>
          <w:marTop w:val="0"/>
          <w:marBottom w:val="0"/>
          <w:divBdr>
            <w:top w:val="none" w:sz="0" w:space="0" w:color="auto"/>
            <w:left w:val="none" w:sz="0" w:space="0" w:color="auto"/>
            <w:bottom w:val="none" w:sz="0" w:space="0" w:color="auto"/>
            <w:right w:val="none" w:sz="0" w:space="0" w:color="auto"/>
          </w:divBdr>
        </w:div>
        <w:div w:id="610938310">
          <w:marLeft w:val="0"/>
          <w:marRight w:val="0"/>
          <w:marTop w:val="0"/>
          <w:marBottom w:val="0"/>
          <w:divBdr>
            <w:top w:val="none" w:sz="0" w:space="0" w:color="auto"/>
            <w:left w:val="none" w:sz="0" w:space="0" w:color="auto"/>
            <w:bottom w:val="none" w:sz="0" w:space="0" w:color="auto"/>
            <w:right w:val="none" w:sz="0" w:space="0" w:color="auto"/>
          </w:divBdr>
        </w:div>
      </w:divsChild>
    </w:div>
    <w:div w:id="729962780">
      <w:bodyDiv w:val="1"/>
      <w:marLeft w:val="0"/>
      <w:marRight w:val="0"/>
      <w:marTop w:val="0"/>
      <w:marBottom w:val="0"/>
      <w:divBdr>
        <w:top w:val="none" w:sz="0" w:space="0" w:color="auto"/>
        <w:left w:val="none" w:sz="0" w:space="0" w:color="auto"/>
        <w:bottom w:val="none" w:sz="0" w:space="0" w:color="auto"/>
        <w:right w:val="none" w:sz="0" w:space="0" w:color="auto"/>
      </w:divBdr>
      <w:divsChild>
        <w:div w:id="789477193">
          <w:marLeft w:val="720"/>
          <w:marRight w:val="0"/>
          <w:marTop w:val="140"/>
          <w:marBottom w:val="0"/>
          <w:divBdr>
            <w:top w:val="none" w:sz="0" w:space="0" w:color="auto"/>
            <w:left w:val="none" w:sz="0" w:space="0" w:color="auto"/>
            <w:bottom w:val="none" w:sz="0" w:space="0" w:color="auto"/>
            <w:right w:val="none" w:sz="0" w:space="0" w:color="auto"/>
          </w:divBdr>
        </w:div>
        <w:div w:id="2134060240">
          <w:marLeft w:val="720"/>
          <w:marRight w:val="0"/>
          <w:marTop w:val="140"/>
          <w:marBottom w:val="0"/>
          <w:divBdr>
            <w:top w:val="none" w:sz="0" w:space="0" w:color="auto"/>
            <w:left w:val="none" w:sz="0" w:space="0" w:color="auto"/>
            <w:bottom w:val="none" w:sz="0" w:space="0" w:color="auto"/>
            <w:right w:val="none" w:sz="0" w:space="0" w:color="auto"/>
          </w:divBdr>
        </w:div>
        <w:div w:id="207228868">
          <w:marLeft w:val="720"/>
          <w:marRight w:val="0"/>
          <w:marTop w:val="140"/>
          <w:marBottom w:val="0"/>
          <w:divBdr>
            <w:top w:val="none" w:sz="0" w:space="0" w:color="auto"/>
            <w:left w:val="none" w:sz="0" w:space="0" w:color="auto"/>
            <w:bottom w:val="none" w:sz="0" w:space="0" w:color="auto"/>
            <w:right w:val="none" w:sz="0" w:space="0" w:color="auto"/>
          </w:divBdr>
        </w:div>
        <w:div w:id="1271427585">
          <w:marLeft w:val="720"/>
          <w:marRight w:val="0"/>
          <w:marTop w:val="140"/>
          <w:marBottom w:val="0"/>
          <w:divBdr>
            <w:top w:val="none" w:sz="0" w:space="0" w:color="auto"/>
            <w:left w:val="none" w:sz="0" w:space="0" w:color="auto"/>
            <w:bottom w:val="none" w:sz="0" w:space="0" w:color="auto"/>
            <w:right w:val="none" w:sz="0" w:space="0" w:color="auto"/>
          </w:divBdr>
        </w:div>
      </w:divsChild>
    </w:div>
    <w:div w:id="1237935730">
      <w:bodyDiv w:val="1"/>
      <w:marLeft w:val="0"/>
      <w:marRight w:val="0"/>
      <w:marTop w:val="0"/>
      <w:marBottom w:val="0"/>
      <w:divBdr>
        <w:top w:val="none" w:sz="0" w:space="0" w:color="auto"/>
        <w:left w:val="none" w:sz="0" w:space="0" w:color="auto"/>
        <w:bottom w:val="none" w:sz="0" w:space="0" w:color="auto"/>
        <w:right w:val="none" w:sz="0" w:space="0" w:color="auto"/>
      </w:divBdr>
      <w:divsChild>
        <w:div w:id="1950312068">
          <w:marLeft w:val="1166"/>
          <w:marRight w:val="0"/>
          <w:marTop w:val="140"/>
          <w:marBottom w:val="0"/>
          <w:divBdr>
            <w:top w:val="none" w:sz="0" w:space="0" w:color="auto"/>
            <w:left w:val="none" w:sz="0" w:space="0" w:color="auto"/>
            <w:bottom w:val="none" w:sz="0" w:space="0" w:color="auto"/>
            <w:right w:val="none" w:sz="0" w:space="0" w:color="auto"/>
          </w:divBdr>
        </w:div>
        <w:div w:id="71120819">
          <w:marLeft w:val="1166"/>
          <w:marRight w:val="0"/>
          <w:marTop w:val="140"/>
          <w:marBottom w:val="0"/>
          <w:divBdr>
            <w:top w:val="none" w:sz="0" w:space="0" w:color="auto"/>
            <w:left w:val="none" w:sz="0" w:space="0" w:color="auto"/>
            <w:bottom w:val="none" w:sz="0" w:space="0" w:color="auto"/>
            <w:right w:val="none" w:sz="0" w:space="0" w:color="auto"/>
          </w:divBdr>
        </w:div>
        <w:div w:id="1686588327">
          <w:marLeft w:val="1166"/>
          <w:marRight w:val="0"/>
          <w:marTop w:val="140"/>
          <w:marBottom w:val="0"/>
          <w:divBdr>
            <w:top w:val="none" w:sz="0" w:space="0" w:color="auto"/>
            <w:left w:val="none" w:sz="0" w:space="0" w:color="auto"/>
            <w:bottom w:val="none" w:sz="0" w:space="0" w:color="auto"/>
            <w:right w:val="none" w:sz="0" w:space="0" w:color="auto"/>
          </w:divBdr>
        </w:div>
        <w:div w:id="2000428119">
          <w:marLeft w:val="1166"/>
          <w:marRight w:val="0"/>
          <w:marTop w:val="140"/>
          <w:marBottom w:val="0"/>
          <w:divBdr>
            <w:top w:val="none" w:sz="0" w:space="0" w:color="auto"/>
            <w:left w:val="none" w:sz="0" w:space="0" w:color="auto"/>
            <w:bottom w:val="none" w:sz="0" w:space="0" w:color="auto"/>
            <w:right w:val="none" w:sz="0" w:space="0" w:color="auto"/>
          </w:divBdr>
        </w:div>
      </w:divsChild>
    </w:div>
    <w:div w:id="1276986612">
      <w:bodyDiv w:val="1"/>
      <w:marLeft w:val="0"/>
      <w:marRight w:val="0"/>
      <w:marTop w:val="0"/>
      <w:marBottom w:val="0"/>
      <w:divBdr>
        <w:top w:val="none" w:sz="0" w:space="0" w:color="auto"/>
        <w:left w:val="none" w:sz="0" w:space="0" w:color="auto"/>
        <w:bottom w:val="none" w:sz="0" w:space="0" w:color="auto"/>
        <w:right w:val="none" w:sz="0" w:space="0" w:color="auto"/>
      </w:divBdr>
    </w:div>
    <w:div w:id="1301770590">
      <w:bodyDiv w:val="1"/>
      <w:marLeft w:val="0"/>
      <w:marRight w:val="0"/>
      <w:marTop w:val="0"/>
      <w:marBottom w:val="0"/>
      <w:divBdr>
        <w:top w:val="none" w:sz="0" w:space="0" w:color="auto"/>
        <w:left w:val="none" w:sz="0" w:space="0" w:color="auto"/>
        <w:bottom w:val="none" w:sz="0" w:space="0" w:color="auto"/>
        <w:right w:val="none" w:sz="0" w:space="0" w:color="auto"/>
      </w:divBdr>
      <w:divsChild>
        <w:div w:id="1350838526">
          <w:marLeft w:val="720"/>
          <w:marRight w:val="0"/>
          <w:marTop w:val="140"/>
          <w:marBottom w:val="0"/>
          <w:divBdr>
            <w:top w:val="none" w:sz="0" w:space="0" w:color="auto"/>
            <w:left w:val="none" w:sz="0" w:space="0" w:color="auto"/>
            <w:bottom w:val="none" w:sz="0" w:space="0" w:color="auto"/>
            <w:right w:val="none" w:sz="0" w:space="0" w:color="auto"/>
          </w:divBdr>
        </w:div>
        <w:div w:id="1777865066">
          <w:marLeft w:val="720"/>
          <w:marRight w:val="0"/>
          <w:marTop w:val="140"/>
          <w:marBottom w:val="0"/>
          <w:divBdr>
            <w:top w:val="none" w:sz="0" w:space="0" w:color="auto"/>
            <w:left w:val="none" w:sz="0" w:space="0" w:color="auto"/>
            <w:bottom w:val="none" w:sz="0" w:space="0" w:color="auto"/>
            <w:right w:val="none" w:sz="0" w:space="0" w:color="auto"/>
          </w:divBdr>
        </w:div>
        <w:div w:id="32192663">
          <w:marLeft w:val="720"/>
          <w:marRight w:val="0"/>
          <w:marTop w:val="140"/>
          <w:marBottom w:val="0"/>
          <w:divBdr>
            <w:top w:val="none" w:sz="0" w:space="0" w:color="auto"/>
            <w:left w:val="none" w:sz="0" w:space="0" w:color="auto"/>
            <w:bottom w:val="none" w:sz="0" w:space="0" w:color="auto"/>
            <w:right w:val="none" w:sz="0" w:space="0" w:color="auto"/>
          </w:divBdr>
        </w:div>
        <w:div w:id="1996300119">
          <w:marLeft w:val="720"/>
          <w:marRight w:val="0"/>
          <w:marTop w:val="140"/>
          <w:marBottom w:val="0"/>
          <w:divBdr>
            <w:top w:val="none" w:sz="0" w:space="0" w:color="auto"/>
            <w:left w:val="none" w:sz="0" w:space="0" w:color="auto"/>
            <w:bottom w:val="none" w:sz="0" w:space="0" w:color="auto"/>
            <w:right w:val="none" w:sz="0" w:space="0" w:color="auto"/>
          </w:divBdr>
        </w:div>
      </w:divsChild>
    </w:div>
    <w:div w:id="1689061764">
      <w:bodyDiv w:val="1"/>
      <w:marLeft w:val="0"/>
      <w:marRight w:val="0"/>
      <w:marTop w:val="0"/>
      <w:marBottom w:val="0"/>
      <w:divBdr>
        <w:top w:val="none" w:sz="0" w:space="0" w:color="auto"/>
        <w:left w:val="none" w:sz="0" w:space="0" w:color="auto"/>
        <w:bottom w:val="none" w:sz="0" w:space="0" w:color="auto"/>
        <w:right w:val="none" w:sz="0" w:space="0" w:color="auto"/>
      </w:divBdr>
      <w:divsChild>
        <w:div w:id="1518080191">
          <w:marLeft w:val="0"/>
          <w:marRight w:val="0"/>
          <w:marTop w:val="0"/>
          <w:marBottom w:val="0"/>
          <w:divBdr>
            <w:top w:val="none" w:sz="0" w:space="0" w:color="auto"/>
            <w:left w:val="none" w:sz="0" w:space="0" w:color="auto"/>
            <w:bottom w:val="none" w:sz="0" w:space="0" w:color="auto"/>
            <w:right w:val="none" w:sz="0" w:space="0" w:color="auto"/>
          </w:divBdr>
        </w:div>
        <w:div w:id="2073505974">
          <w:marLeft w:val="0"/>
          <w:marRight w:val="0"/>
          <w:marTop w:val="0"/>
          <w:marBottom w:val="0"/>
          <w:divBdr>
            <w:top w:val="none" w:sz="0" w:space="0" w:color="auto"/>
            <w:left w:val="none" w:sz="0" w:space="0" w:color="auto"/>
            <w:bottom w:val="none" w:sz="0" w:space="0" w:color="auto"/>
            <w:right w:val="none" w:sz="0" w:space="0" w:color="auto"/>
          </w:divBdr>
        </w:div>
        <w:div w:id="1027412572">
          <w:marLeft w:val="0"/>
          <w:marRight w:val="0"/>
          <w:marTop w:val="0"/>
          <w:marBottom w:val="0"/>
          <w:divBdr>
            <w:top w:val="none" w:sz="0" w:space="0" w:color="auto"/>
            <w:left w:val="none" w:sz="0" w:space="0" w:color="auto"/>
            <w:bottom w:val="none" w:sz="0" w:space="0" w:color="auto"/>
            <w:right w:val="none" w:sz="0" w:space="0" w:color="auto"/>
          </w:divBdr>
        </w:div>
      </w:divsChild>
    </w:div>
    <w:div w:id="1722510432">
      <w:bodyDiv w:val="1"/>
      <w:marLeft w:val="0"/>
      <w:marRight w:val="0"/>
      <w:marTop w:val="0"/>
      <w:marBottom w:val="0"/>
      <w:divBdr>
        <w:top w:val="none" w:sz="0" w:space="0" w:color="auto"/>
        <w:left w:val="none" w:sz="0" w:space="0" w:color="auto"/>
        <w:bottom w:val="none" w:sz="0" w:space="0" w:color="auto"/>
        <w:right w:val="none" w:sz="0" w:space="0" w:color="auto"/>
      </w:divBdr>
      <w:divsChild>
        <w:div w:id="106050965">
          <w:marLeft w:val="0"/>
          <w:marRight w:val="0"/>
          <w:marTop w:val="0"/>
          <w:marBottom w:val="0"/>
          <w:divBdr>
            <w:top w:val="none" w:sz="0" w:space="0" w:color="auto"/>
            <w:left w:val="none" w:sz="0" w:space="0" w:color="auto"/>
            <w:bottom w:val="none" w:sz="0" w:space="0" w:color="auto"/>
            <w:right w:val="none" w:sz="0" w:space="0" w:color="auto"/>
          </w:divBdr>
        </w:div>
        <w:div w:id="599219475">
          <w:marLeft w:val="0"/>
          <w:marRight w:val="0"/>
          <w:marTop w:val="0"/>
          <w:marBottom w:val="0"/>
          <w:divBdr>
            <w:top w:val="none" w:sz="0" w:space="0" w:color="auto"/>
            <w:left w:val="none" w:sz="0" w:space="0" w:color="auto"/>
            <w:bottom w:val="none" w:sz="0" w:space="0" w:color="auto"/>
            <w:right w:val="none" w:sz="0" w:space="0" w:color="auto"/>
          </w:divBdr>
        </w:div>
        <w:div w:id="1434282585">
          <w:marLeft w:val="0"/>
          <w:marRight w:val="0"/>
          <w:marTop w:val="0"/>
          <w:marBottom w:val="0"/>
          <w:divBdr>
            <w:top w:val="none" w:sz="0" w:space="0" w:color="auto"/>
            <w:left w:val="none" w:sz="0" w:space="0" w:color="auto"/>
            <w:bottom w:val="none" w:sz="0" w:space="0" w:color="auto"/>
            <w:right w:val="none" w:sz="0" w:space="0" w:color="auto"/>
          </w:divBdr>
        </w:div>
        <w:div w:id="1837187320">
          <w:marLeft w:val="0"/>
          <w:marRight w:val="0"/>
          <w:marTop w:val="0"/>
          <w:marBottom w:val="0"/>
          <w:divBdr>
            <w:top w:val="none" w:sz="0" w:space="0" w:color="auto"/>
            <w:left w:val="none" w:sz="0" w:space="0" w:color="auto"/>
            <w:bottom w:val="none" w:sz="0" w:space="0" w:color="auto"/>
            <w:right w:val="none" w:sz="0" w:space="0" w:color="auto"/>
          </w:divBdr>
        </w:div>
        <w:div w:id="63068256">
          <w:marLeft w:val="0"/>
          <w:marRight w:val="0"/>
          <w:marTop w:val="0"/>
          <w:marBottom w:val="0"/>
          <w:divBdr>
            <w:top w:val="none" w:sz="0" w:space="0" w:color="auto"/>
            <w:left w:val="none" w:sz="0" w:space="0" w:color="auto"/>
            <w:bottom w:val="none" w:sz="0" w:space="0" w:color="auto"/>
            <w:right w:val="none" w:sz="0" w:space="0" w:color="auto"/>
          </w:divBdr>
        </w:div>
        <w:div w:id="119422750">
          <w:marLeft w:val="0"/>
          <w:marRight w:val="0"/>
          <w:marTop w:val="0"/>
          <w:marBottom w:val="0"/>
          <w:divBdr>
            <w:top w:val="none" w:sz="0" w:space="0" w:color="auto"/>
            <w:left w:val="none" w:sz="0" w:space="0" w:color="auto"/>
            <w:bottom w:val="none" w:sz="0" w:space="0" w:color="auto"/>
            <w:right w:val="none" w:sz="0" w:space="0" w:color="auto"/>
          </w:divBdr>
        </w:div>
        <w:div w:id="397527">
          <w:marLeft w:val="0"/>
          <w:marRight w:val="0"/>
          <w:marTop w:val="0"/>
          <w:marBottom w:val="0"/>
          <w:divBdr>
            <w:top w:val="none" w:sz="0" w:space="0" w:color="auto"/>
            <w:left w:val="none" w:sz="0" w:space="0" w:color="auto"/>
            <w:bottom w:val="none" w:sz="0" w:space="0" w:color="auto"/>
            <w:right w:val="none" w:sz="0" w:space="0" w:color="auto"/>
          </w:divBdr>
        </w:div>
        <w:div w:id="623462099">
          <w:marLeft w:val="0"/>
          <w:marRight w:val="0"/>
          <w:marTop w:val="0"/>
          <w:marBottom w:val="0"/>
          <w:divBdr>
            <w:top w:val="none" w:sz="0" w:space="0" w:color="auto"/>
            <w:left w:val="none" w:sz="0" w:space="0" w:color="auto"/>
            <w:bottom w:val="none" w:sz="0" w:space="0" w:color="auto"/>
            <w:right w:val="none" w:sz="0" w:space="0" w:color="auto"/>
          </w:divBdr>
        </w:div>
        <w:div w:id="985402172">
          <w:marLeft w:val="0"/>
          <w:marRight w:val="0"/>
          <w:marTop w:val="0"/>
          <w:marBottom w:val="0"/>
          <w:divBdr>
            <w:top w:val="none" w:sz="0" w:space="0" w:color="auto"/>
            <w:left w:val="none" w:sz="0" w:space="0" w:color="auto"/>
            <w:bottom w:val="none" w:sz="0" w:space="0" w:color="auto"/>
            <w:right w:val="none" w:sz="0" w:space="0" w:color="auto"/>
          </w:divBdr>
        </w:div>
        <w:div w:id="203299472">
          <w:marLeft w:val="0"/>
          <w:marRight w:val="0"/>
          <w:marTop w:val="0"/>
          <w:marBottom w:val="0"/>
          <w:divBdr>
            <w:top w:val="none" w:sz="0" w:space="0" w:color="auto"/>
            <w:left w:val="none" w:sz="0" w:space="0" w:color="auto"/>
            <w:bottom w:val="none" w:sz="0" w:space="0" w:color="auto"/>
            <w:right w:val="none" w:sz="0" w:space="0" w:color="auto"/>
          </w:divBdr>
        </w:div>
        <w:div w:id="80028615">
          <w:marLeft w:val="0"/>
          <w:marRight w:val="0"/>
          <w:marTop w:val="0"/>
          <w:marBottom w:val="0"/>
          <w:divBdr>
            <w:top w:val="none" w:sz="0" w:space="0" w:color="auto"/>
            <w:left w:val="none" w:sz="0" w:space="0" w:color="auto"/>
            <w:bottom w:val="none" w:sz="0" w:space="0" w:color="auto"/>
            <w:right w:val="none" w:sz="0" w:space="0" w:color="auto"/>
          </w:divBdr>
        </w:div>
        <w:div w:id="668603011">
          <w:marLeft w:val="0"/>
          <w:marRight w:val="0"/>
          <w:marTop w:val="0"/>
          <w:marBottom w:val="0"/>
          <w:divBdr>
            <w:top w:val="none" w:sz="0" w:space="0" w:color="auto"/>
            <w:left w:val="none" w:sz="0" w:space="0" w:color="auto"/>
            <w:bottom w:val="none" w:sz="0" w:space="0" w:color="auto"/>
            <w:right w:val="none" w:sz="0" w:space="0" w:color="auto"/>
          </w:divBdr>
        </w:div>
        <w:div w:id="1054740811">
          <w:marLeft w:val="0"/>
          <w:marRight w:val="0"/>
          <w:marTop w:val="0"/>
          <w:marBottom w:val="0"/>
          <w:divBdr>
            <w:top w:val="none" w:sz="0" w:space="0" w:color="auto"/>
            <w:left w:val="none" w:sz="0" w:space="0" w:color="auto"/>
            <w:bottom w:val="none" w:sz="0" w:space="0" w:color="auto"/>
            <w:right w:val="none" w:sz="0" w:space="0" w:color="auto"/>
          </w:divBdr>
        </w:div>
        <w:div w:id="2080054750">
          <w:marLeft w:val="0"/>
          <w:marRight w:val="0"/>
          <w:marTop w:val="0"/>
          <w:marBottom w:val="0"/>
          <w:divBdr>
            <w:top w:val="none" w:sz="0" w:space="0" w:color="auto"/>
            <w:left w:val="none" w:sz="0" w:space="0" w:color="auto"/>
            <w:bottom w:val="none" w:sz="0" w:space="0" w:color="auto"/>
            <w:right w:val="none" w:sz="0" w:space="0" w:color="auto"/>
          </w:divBdr>
        </w:div>
        <w:div w:id="1614095583">
          <w:marLeft w:val="0"/>
          <w:marRight w:val="0"/>
          <w:marTop w:val="0"/>
          <w:marBottom w:val="0"/>
          <w:divBdr>
            <w:top w:val="none" w:sz="0" w:space="0" w:color="auto"/>
            <w:left w:val="none" w:sz="0" w:space="0" w:color="auto"/>
            <w:bottom w:val="none" w:sz="0" w:space="0" w:color="auto"/>
            <w:right w:val="none" w:sz="0" w:space="0" w:color="auto"/>
          </w:divBdr>
        </w:div>
        <w:div w:id="522014326">
          <w:marLeft w:val="0"/>
          <w:marRight w:val="0"/>
          <w:marTop w:val="0"/>
          <w:marBottom w:val="0"/>
          <w:divBdr>
            <w:top w:val="none" w:sz="0" w:space="0" w:color="auto"/>
            <w:left w:val="none" w:sz="0" w:space="0" w:color="auto"/>
            <w:bottom w:val="none" w:sz="0" w:space="0" w:color="auto"/>
            <w:right w:val="none" w:sz="0" w:space="0" w:color="auto"/>
          </w:divBdr>
        </w:div>
        <w:div w:id="745764094">
          <w:marLeft w:val="0"/>
          <w:marRight w:val="0"/>
          <w:marTop w:val="0"/>
          <w:marBottom w:val="0"/>
          <w:divBdr>
            <w:top w:val="none" w:sz="0" w:space="0" w:color="auto"/>
            <w:left w:val="none" w:sz="0" w:space="0" w:color="auto"/>
            <w:bottom w:val="none" w:sz="0" w:space="0" w:color="auto"/>
            <w:right w:val="none" w:sz="0" w:space="0" w:color="auto"/>
          </w:divBdr>
        </w:div>
        <w:div w:id="1544947497">
          <w:marLeft w:val="0"/>
          <w:marRight w:val="0"/>
          <w:marTop w:val="0"/>
          <w:marBottom w:val="0"/>
          <w:divBdr>
            <w:top w:val="none" w:sz="0" w:space="0" w:color="auto"/>
            <w:left w:val="none" w:sz="0" w:space="0" w:color="auto"/>
            <w:bottom w:val="none" w:sz="0" w:space="0" w:color="auto"/>
            <w:right w:val="none" w:sz="0" w:space="0" w:color="auto"/>
          </w:divBdr>
        </w:div>
        <w:div w:id="898054037">
          <w:marLeft w:val="0"/>
          <w:marRight w:val="0"/>
          <w:marTop w:val="0"/>
          <w:marBottom w:val="0"/>
          <w:divBdr>
            <w:top w:val="none" w:sz="0" w:space="0" w:color="auto"/>
            <w:left w:val="none" w:sz="0" w:space="0" w:color="auto"/>
            <w:bottom w:val="none" w:sz="0" w:space="0" w:color="auto"/>
            <w:right w:val="none" w:sz="0" w:space="0" w:color="auto"/>
          </w:divBdr>
        </w:div>
      </w:divsChild>
    </w:div>
    <w:div w:id="1827084060">
      <w:bodyDiv w:val="1"/>
      <w:marLeft w:val="0"/>
      <w:marRight w:val="0"/>
      <w:marTop w:val="0"/>
      <w:marBottom w:val="0"/>
      <w:divBdr>
        <w:top w:val="none" w:sz="0" w:space="0" w:color="auto"/>
        <w:left w:val="none" w:sz="0" w:space="0" w:color="auto"/>
        <w:bottom w:val="none" w:sz="0" w:space="0" w:color="auto"/>
        <w:right w:val="none" w:sz="0" w:space="0" w:color="auto"/>
      </w:divBdr>
      <w:divsChild>
        <w:div w:id="1194153646">
          <w:marLeft w:val="720"/>
          <w:marRight w:val="0"/>
          <w:marTop w:val="140"/>
          <w:marBottom w:val="0"/>
          <w:divBdr>
            <w:top w:val="none" w:sz="0" w:space="0" w:color="auto"/>
            <w:left w:val="none" w:sz="0" w:space="0" w:color="auto"/>
            <w:bottom w:val="none" w:sz="0" w:space="0" w:color="auto"/>
            <w:right w:val="none" w:sz="0" w:space="0" w:color="auto"/>
          </w:divBdr>
        </w:div>
        <w:div w:id="1658681857">
          <w:marLeft w:val="720"/>
          <w:marRight w:val="0"/>
          <w:marTop w:val="140"/>
          <w:marBottom w:val="0"/>
          <w:divBdr>
            <w:top w:val="none" w:sz="0" w:space="0" w:color="auto"/>
            <w:left w:val="none" w:sz="0" w:space="0" w:color="auto"/>
            <w:bottom w:val="none" w:sz="0" w:space="0" w:color="auto"/>
            <w:right w:val="none" w:sz="0" w:space="0" w:color="auto"/>
          </w:divBdr>
        </w:div>
        <w:div w:id="1462918904">
          <w:marLeft w:val="720"/>
          <w:marRight w:val="0"/>
          <w:marTop w:val="140"/>
          <w:marBottom w:val="0"/>
          <w:divBdr>
            <w:top w:val="none" w:sz="0" w:space="0" w:color="auto"/>
            <w:left w:val="none" w:sz="0" w:space="0" w:color="auto"/>
            <w:bottom w:val="none" w:sz="0" w:space="0" w:color="auto"/>
            <w:right w:val="none" w:sz="0" w:space="0" w:color="auto"/>
          </w:divBdr>
        </w:div>
      </w:divsChild>
    </w:div>
    <w:div w:id="1867525507">
      <w:bodyDiv w:val="1"/>
      <w:marLeft w:val="0"/>
      <w:marRight w:val="0"/>
      <w:marTop w:val="0"/>
      <w:marBottom w:val="0"/>
      <w:divBdr>
        <w:top w:val="none" w:sz="0" w:space="0" w:color="auto"/>
        <w:left w:val="none" w:sz="0" w:space="0" w:color="auto"/>
        <w:bottom w:val="none" w:sz="0" w:space="0" w:color="auto"/>
        <w:right w:val="none" w:sz="0" w:space="0" w:color="auto"/>
      </w:divBdr>
    </w:div>
    <w:div w:id="1875341416">
      <w:bodyDiv w:val="1"/>
      <w:marLeft w:val="0"/>
      <w:marRight w:val="0"/>
      <w:marTop w:val="0"/>
      <w:marBottom w:val="0"/>
      <w:divBdr>
        <w:top w:val="none" w:sz="0" w:space="0" w:color="auto"/>
        <w:left w:val="none" w:sz="0" w:space="0" w:color="auto"/>
        <w:bottom w:val="none" w:sz="0" w:space="0" w:color="auto"/>
        <w:right w:val="none" w:sz="0" w:space="0" w:color="auto"/>
      </w:divBdr>
      <w:divsChild>
        <w:div w:id="633411618">
          <w:marLeft w:val="547"/>
          <w:marRight w:val="0"/>
          <w:marTop w:val="140"/>
          <w:marBottom w:val="0"/>
          <w:divBdr>
            <w:top w:val="none" w:sz="0" w:space="0" w:color="auto"/>
            <w:left w:val="none" w:sz="0" w:space="0" w:color="auto"/>
            <w:bottom w:val="none" w:sz="0" w:space="0" w:color="auto"/>
            <w:right w:val="none" w:sz="0" w:space="0" w:color="auto"/>
          </w:divBdr>
        </w:div>
        <w:div w:id="1604920886">
          <w:marLeft w:val="547"/>
          <w:marRight w:val="0"/>
          <w:marTop w:val="140"/>
          <w:marBottom w:val="0"/>
          <w:divBdr>
            <w:top w:val="none" w:sz="0" w:space="0" w:color="auto"/>
            <w:left w:val="none" w:sz="0" w:space="0" w:color="auto"/>
            <w:bottom w:val="none" w:sz="0" w:space="0" w:color="auto"/>
            <w:right w:val="none" w:sz="0" w:space="0" w:color="auto"/>
          </w:divBdr>
        </w:div>
      </w:divsChild>
    </w:div>
    <w:div w:id="1934588253">
      <w:bodyDiv w:val="1"/>
      <w:marLeft w:val="0"/>
      <w:marRight w:val="0"/>
      <w:marTop w:val="0"/>
      <w:marBottom w:val="0"/>
      <w:divBdr>
        <w:top w:val="none" w:sz="0" w:space="0" w:color="auto"/>
        <w:left w:val="none" w:sz="0" w:space="0" w:color="auto"/>
        <w:bottom w:val="none" w:sz="0" w:space="0" w:color="auto"/>
        <w:right w:val="none" w:sz="0" w:space="0" w:color="auto"/>
      </w:divBdr>
    </w:div>
    <w:div w:id="1959020545">
      <w:bodyDiv w:val="1"/>
      <w:marLeft w:val="0"/>
      <w:marRight w:val="0"/>
      <w:marTop w:val="0"/>
      <w:marBottom w:val="0"/>
      <w:divBdr>
        <w:top w:val="none" w:sz="0" w:space="0" w:color="auto"/>
        <w:left w:val="none" w:sz="0" w:space="0" w:color="auto"/>
        <w:bottom w:val="none" w:sz="0" w:space="0" w:color="auto"/>
        <w:right w:val="none" w:sz="0" w:space="0" w:color="auto"/>
      </w:divBdr>
      <w:divsChild>
        <w:div w:id="1263612622">
          <w:marLeft w:val="720"/>
          <w:marRight w:val="0"/>
          <w:marTop w:val="140"/>
          <w:marBottom w:val="0"/>
          <w:divBdr>
            <w:top w:val="none" w:sz="0" w:space="0" w:color="auto"/>
            <w:left w:val="none" w:sz="0" w:space="0" w:color="auto"/>
            <w:bottom w:val="none" w:sz="0" w:space="0" w:color="auto"/>
            <w:right w:val="none" w:sz="0" w:space="0" w:color="auto"/>
          </w:divBdr>
        </w:div>
        <w:div w:id="1024550140">
          <w:marLeft w:val="720"/>
          <w:marRight w:val="0"/>
          <w:marTop w:val="140"/>
          <w:marBottom w:val="0"/>
          <w:divBdr>
            <w:top w:val="none" w:sz="0" w:space="0" w:color="auto"/>
            <w:left w:val="none" w:sz="0" w:space="0" w:color="auto"/>
            <w:bottom w:val="none" w:sz="0" w:space="0" w:color="auto"/>
            <w:right w:val="none" w:sz="0" w:space="0" w:color="auto"/>
          </w:divBdr>
        </w:div>
        <w:div w:id="318462365">
          <w:marLeft w:val="720"/>
          <w:marRight w:val="0"/>
          <w:marTop w:val="140"/>
          <w:marBottom w:val="0"/>
          <w:divBdr>
            <w:top w:val="none" w:sz="0" w:space="0" w:color="auto"/>
            <w:left w:val="none" w:sz="0" w:space="0" w:color="auto"/>
            <w:bottom w:val="none" w:sz="0" w:space="0" w:color="auto"/>
            <w:right w:val="none" w:sz="0" w:space="0" w:color="auto"/>
          </w:divBdr>
        </w:div>
        <w:div w:id="1074426598">
          <w:marLeft w:val="720"/>
          <w:marRight w:val="0"/>
          <w:marTop w:val="140"/>
          <w:marBottom w:val="0"/>
          <w:divBdr>
            <w:top w:val="none" w:sz="0" w:space="0" w:color="auto"/>
            <w:left w:val="none" w:sz="0" w:space="0" w:color="auto"/>
            <w:bottom w:val="none" w:sz="0" w:space="0" w:color="auto"/>
            <w:right w:val="none" w:sz="0" w:space="0" w:color="auto"/>
          </w:divBdr>
        </w:div>
        <w:div w:id="1632244300">
          <w:marLeft w:val="720"/>
          <w:marRight w:val="0"/>
          <w:marTop w:val="140"/>
          <w:marBottom w:val="0"/>
          <w:divBdr>
            <w:top w:val="none" w:sz="0" w:space="0" w:color="auto"/>
            <w:left w:val="none" w:sz="0" w:space="0" w:color="auto"/>
            <w:bottom w:val="none" w:sz="0" w:space="0" w:color="auto"/>
            <w:right w:val="none" w:sz="0" w:space="0" w:color="auto"/>
          </w:divBdr>
        </w:div>
        <w:div w:id="326909752">
          <w:marLeft w:val="720"/>
          <w:marRight w:val="0"/>
          <w:marTop w:val="14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pa.gov/ecotox/ecossl" TargetMode="External"/><Relationship Id="rId18" Type="http://schemas.openxmlformats.org/officeDocument/2006/relationships/hyperlink" Target="http://water.epa.gov/scitech/swguidance/standards/current/index.cfm" TargetMode="External"/><Relationship Id="rId26" Type="http://schemas.openxmlformats.org/officeDocument/2006/relationships/hyperlink" Target="http://www.epa.gov/ecotox" TargetMode="External"/><Relationship Id="rId39" Type="http://schemas.openxmlformats.org/officeDocument/2006/relationships/hyperlink" Target="http://epa.gov/grtlakes/sediment/Vol3.pdf" TargetMode="External"/><Relationship Id="rId3" Type="http://schemas.openxmlformats.org/officeDocument/2006/relationships/settings" Target="settings.xml"/><Relationship Id="rId21" Type="http://schemas.openxmlformats.org/officeDocument/2006/relationships/hyperlink" Target="http://www.cerc.usgs.gov/pubs/sedtox/sqags_for_florida_inland_waters_01_03.pdf" TargetMode="External"/><Relationship Id="rId34" Type="http://schemas.openxmlformats.org/officeDocument/2006/relationships/hyperlink" Target="http://www.dep.state.fl.us/waste/quick_topics/publications/documents/ToxicityTestMethodsJune242004.pdf" TargetMode="External"/><Relationship Id="rId42" Type="http://schemas.openxmlformats.org/officeDocument/2006/relationships/image" Target="media/image6.png"/><Relationship Id="rId7" Type="http://schemas.openxmlformats.org/officeDocument/2006/relationships/image" Target="media/image1.emf"/><Relationship Id="rId12" Type="http://schemas.openxmlformats.org/officeDocument/2006/relationships/image" Target="media/image2.png"/><Relationship Id="rId17" Type="http://schemas.openxmlformats.org/officeDocument/2006/relationships/hyperlink" Target="https://www.flrules.org/gateway/ChapterHome.asp?Chapter=62-777" TargetMode="External"/><Relationship Id="rId25" Type="http://schemas.openxmlformats.org/officeDocument/2006/relationships/hyperlink" Target="http://www.epa.gov/ecotox/ecossl" TargetMode="External"/><Relationship Id="rId33" Type="http://schemas.openxmlformats.org/officeDocument/2006/relationships/hyperlink" Target="http://epa.gov/grtlakes/sediment/Vol3.pdf" TargetMode="External"/><Relationship Id="rId38" Type="http://schemas.openxmlformats.org/officeDocument/2006/relationships/hyperlink" Target="http://publicfiles.dep.state.fl.us/dear/sas/sopdoc/2008sops/fs7000.pdf" TargetMode="External"/><Relationship Id="rId2" Type="http://schemas.openxmlformats.org/officeDocument/2006/relationships/styles" Target="styles.xml"/><Relationship Id="rId16" Type="http://schemas.openxmlformats.org/officeDocument/2006/relationships/hyperlink" Target="https://www.flrules.org/gateway/RuleNo.asp?title=SURFACE%20WATER%20QUALITY%20STANDARDS&amp;ID=62-302.530" TargetMode="External"/><Relationship Id="rId20" Type="http://schemas.openxmlformats.org/officeDocument/2006/relationships/hyperlink" Target="http://www.epa.gov/reg3hwmd/risk/eco/btag/sbv/fw/R3_BTAG_FW_Benchmarks_07-06.pdf" TargetMode="External"/><Relationship Id="rId29" Type="http://schemas.openxmlformats.org/officeDocument/2006/relationships/hyperlink" Target="http://freshfromflorida.s3.amazonaws.com/fl-endangered-plants.pdf" TargetMode="External"/><Relationship Id="rId41" Type="http://schemas.openxmlformats.org/officeDocument/2006/relationships/hyperlink" Target="http://oehha.ca.gov/ecotox/pdf/SoilTox12020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epa.gov/reg3hwmd/risk/eco/btag/sbv/fwsed/R3_BTAG_FW_Sediment_Benchmarks_8-06.pdf" TargetMode="External"/><Relationship Id="rId32" Type="http://schemas.openxmlformats.org/officeDocument/2006/relationships/hyperlink" Target="http://www.epa.gov/ttn/fera/trim_fate.html" TargetMode="External"/><Relationship Id="rId37" Type="http://schemas.openxmlformats.org/officeDocument/2006/relationships/image" Target="media/image5.png"/><Relationship Id="rId40" Type="http://schemas.openxmlformats.org/officeDocument/2006/relationships/hyperlink" Target="http://www.dep.state.fl.us/waste/quick_topics/publications/documents/ToxicityTestMethodsJune242004.pdf" TargetMode="External"/><Relationship Id="rId5" Type="http://schemas.openxmlformats.org/officeDocument/2006/relationships/footnotes" Target="footnotes.xml"/><Relationship Id="rId15" Type="http://schemas.openxmlformats.org/officeDocument/2006/relationships/hyperlink" Target="http://www.epa.gov/region5/waste/cars/pdfs/ecological-screening-levels-200308.pdf" TargetMode="External"/><Relationship Id="rId23" Type="http://schemas.openxmlformats.org/officeDocument/2006/relationships/hyperlink" Target="http://www.epa.gov/region4/superfund/programs/riskassess/ecolbul.html" TargetMode="External"/><Relationship Id="rId28" Type="http://schemas.openxmlformats.org/officeDocument/2006/relationships/hyperlink" Target="http://myfwc.com/media/1515251/threatened_endangered_species.pdf" TargetMode="External"/><Relationship Id="rId36"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hyperlink" Target="http://www.epa.gov/region4/superfund/programs/riskassess/ecolbul.html" TargetMode="External"/><Relationship Id="rId31" Type="http://schemas.openxmlformats.org/officeDocument/2006/relationships/hyperlink" Target="http://www.dep.state.fl.us/waste/quick_topics/publications/wc/GroundwaterBackgroundGuidance2013.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pa.gov/region4/superfund/programs/riskassess/ecolbul.html" TargetMode="External"/><Relationship Id="rId22" Type="http://schemas.openxmlformats.org/officeDocument/2006/relationships/hyperlink" Target="http://www.dep.state.fl.us/waste/quick_topics/publications/documents/sediment/volume1.pdf" TargetMode="External"/><Relationship Id="rId27" Type="http://schemas.openxmlformats.org/officeDocument/2006/relationships/hyperlink" Target="http://usaphcapps.amedd.army.mil/erawg/tox/" TargetMode="External"/><Relationship Id="rId30" Type="http://schemas.openxmlformats.org/officeDocument/2006/relationships/hyperlink" Target="http://www.dep.state.fl.us/waste/quick_topics/publications/wc/Soil_Background_Guidance_Jan12.pdf" TargetMode="External"/><Relationship Id="rId35" Type="http://schemas.openxmlformats.org/officeDocument/2006/relationships/image" Target="media/image3.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21</Pages>
  <Words>6521</Words>
  <Characters>37171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43605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Stuchal</dc:creator>
  <cp:keywords/>
  <dc:description/>
  <cp:lastModifiedBy>Austin R. Manny</cp:lastModifiedBy>
  <cp:revision>88</cp:revision>
  <cp:lastPrinted>2014-04-03T14:19:00Z</cp:lastPrinted>
  <dcterms:created xsi:type="dcterms:W3CDTF">2014-04-02T17:56:00Z</dcterms:created>
  <dcterms:modified xsi:type="dcterms:W3CDTF">2017-02-01T21:09:00Z</dcterms:modified>
</cp:coreProperties>
</file>