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FABCC" w14:textId="77777777" w:rsidR="00582F11" w:rsidRDefault="00582F11" w:rsidP="00582F11">
      <w:pPr>
        <w:ind w:left="360"/>
        <w:jc w:val="center"/>
        <w:rPr>
          <w:b/>
        </w:rPr>
      </w:pPr>
      <w:r w:rsidRPr="00582F11">
        <w:rPr>
          <w:b/>
        </w:rPr>
        <w:t>CHAPTER 62-737</w:t>
      </w:r>
    </w:p>
    <w:p w14:paraId="61B18555" w14:textId="77777777" w:rsidR="00582F11" w:rsidRPr="00582F11" w:rsidRDefault="00582F11" w:rsidP="00582F11">
      <w:pPr>
        <w:ind w:left="360"/>
        <w:jc w:val="center"/>
        <w:rPr>
          <w:b/>
        </w:rPr>
      </w:pPr>
    </w:p>
    <w:p w14:paraId="4CAEDDF0" w14:textId="2EDE7C6A" w:rsidR="00582F11" w:rsidRDefault="00582F11" w:rsidP="00582F11">
      <w:pPr>
        <w:ind w:left="360"/>
        <w:rPr>
          <w:b/>
        </w:rPr>
      </w:pPr>
      <w:r w:rsidRPr="00582F11">
        <w:rPr>
          <w:b/>
        </w:rPr>
        <w:t>THE MANAGEMENT OF SPENT MERCURY-CONTAINING LAMPS AND DEVICES DESTINED FOR RECYCLING</w:t>
      </w:r>
    </w:p>
    <w:p w14:paraId="3EAEEAFD" w14:textId="77777777" w:rsidR="00582F11" w:rsidRDefault="00582F11" w:rsidP="00582F11">
      <w:pPr>
        <w:ind w:left="360"/>
        <w:jc w:val="center"/>
      </w:pPr>
    </w:p>
    <w:p w14:paraId="021C4CB3" w14:textId="74BB3360" w:rsidR="00582F11" w:rsidRDefault="00582F11" w:rsidP="00582F11">
      <w:pPr>
        <w:ind w:left="360"/>
      </w:pPr>
      <w:hyperlink r:id="rId4" w:tgtFrame="ruleNo" w:history="1">
        <w:r>
          <w:rPr>
            <w:rStyle w:val="Hyperlink"/>
            <w:szCs w:val="20"/>
          </w:rPr>
          <w:t>62-737.400</w:t>
        </w:r>
      </w:hyperlink>
      <w:r>
        <w:rPr>
          <w:color w:val="000000"/>
          <w:szCs w:val="20"/>
        </w:rPr>
        <w:t>: Requirements and Management Standards for Handlers and Transporters of Spent Universal Waste Lamps and Devices</w:t>
      </w:r>
      <w:r>
        <w:rPr>
          <w:color w:val="000000"/>
          <w:szCs w:val="20"/>
        </w:rPr>
        <w:br/>
      </w:r>
    </w:p>
    <w:p w14:paraId="5E4A5F27" w14:textId="77777777" w:rsidR="00582F11" w:rsidRDefault="00582F11" w:rsidP="00582F11">
      <w:pPr>
        <w:ind w:firstLine="360"/>
        <w:textAlignment w:val="baseline"/>
        <w:rPr>
          <w:color w:val="000000"/>
          <w:szCs w:val="20"/>
        </w:rPr>
      </w:pPr>
      <w:r>
        <w:rPr>
          <w:color w:val="000000"/>
          <w:szCs w:val="20"/>
        </w:rPr>
        <w:t>62-737.400 Requirements and Management Standards for Handlers and Transporters of Spent Universal Waste Lamps and Devices.</w:t>
      </w:r>
    </w:p>
    <w:p w14:paraId="66314770" w14:textId="77777777" w:rsidR="00582F11" w:rsidRDefault="00582F11" w:rsidP="00582F11">
      <w:pPr>
        <w:ind w:firstLine="360"/>
        <w:textAlignment w:val="baseline"/>
        <w:rPr>
          <w:color w:val="000000"/>
          <w:szCs w:val="20"/>
        </w:rPr>
      </w:pPr>
      <w:r>
        <w:rPr>
          <w:color w:val="000000"/>
          <w:szCs w:val="20"/>
        </w:rPr>
        <w:t>(1) through (2) No change.</w:t>
      </w:r>
    </w:p>
    <w:p w14:paraId="0B8E7F96" w14:textId="77777777" w:rsidR="00582F11" w:rsidRDefault="00582F11" w:rsidP="00582F11">
      <w:pPr>
        <w:ind w:firstLine="360"/>
        <w:textAlignment w:val="baseline"/>
        <w:rPr>
          <w:color w:val="000000"/>
          <w:szCs w:val="20"/>
        </w:rPr>
      </w:pPr>
      <w:r>
        <w:rPr>
          <w:color w:val="000000"/>
          <w:szCs w:val="20"/>
        </w:rPr>
        <w:t>(3)(a) Registration:</w:t>
      </w:r>
    </w:p>
    <w:p w14:paraId="74C1668B" w14:textId="77777777" w:rsidR="00582F11" w:rsidRDefault="00582F11" w:rsidP="00582F11">
      <w:pPr>
        <w:ind w:firstLine="360"/>
        <w:textAlignment w:val="baseline"/>
        <w:rPr>
          <w:color w:val="000000"/>
          <w:szCs w:val="20"/>
        </w:rPr>
      </w:pPr>
      <w:r>
        <w:rPr>
          <w:color w:val="000000"/>
          <w:szCs w:val="20"/>
        </w:rPr>
        <w:t>1. No change.</w:t>
      </w:r>
    </w:p>
    <w:p w14:paraId="3A87E685" w14:textId="77777777" w:rsidR="00582F11" w:rsidRDefault="00582F11" w:rsidP="00582F11">
      <w:pPr>
        <w:ind w:firstLine="360"/>
        <w:textAlignment w:val="baseline"/>
        <w:rPr>
          <w:color w:val="000000"/>
          <w:szCs w:val="20"/>
        </w:rPr>
      </w:pPr>
      <w:r>
        <w:rPr>
          <w:color w:val="000000"/>
          <w:szCs w:val="20"/>
        </w:rPr>
        <w:t xml:space="preserve">2. Before beginning operations and annually thereafter by March 1, a handler or a transporter of spent universal waste lamps or devices, excluding a person specified in paragraph 1., above, and the sponsor of a reverse distribution program shall register by notifying the Department of its intent to be a handler or transporter or to operate a reverse distribution program, and certifying that it has employee training procedures in place for the proper handling, emergency response, and containment and cleanup of its spent universal waste lamps or devices. This registration/notification shall be made by submitting a completed Form 62-730.900(1)(b),“8700-12FL – Florida Notification of Regulated Waste Activity,” </w:t>
      </w:r>
      <w:r>
        <w:rPr>
          <w:strike/>
          <w:color w:val="000000"/>
          <w:szCs w:val="20"/>
        </w:rPr>
        <w:t>effective date 12-2019</w:t>
      </w:r>
      <w:r>
        <w:rPr>
          <w:color w:val="000000"/>
          <w:szCs w:val="20"/>
        </w:rPr>
        <w:t xml:space="preserve"> </w:t>
      </w:r>
      <w:r>
        <w:rPr>
          <w:color w:val="000000"/>
          <w:szCs w:val="20"/>
          <w:u w:val="single"/>
        </w:rPr>
        <w:t xml:space="preserve">which is adopted and incorporated by reference in paragraph 62-730.150(2)(a), F.A.C., </w:t>
      </w:r>
      <w:r>
        <w:rPr>
          <w:color w:val="0070C0"/>
          <w:szCs w:val="20"/>
          <w:u w:val="single"/>
        </w:rPr>
        <w:t>8700 Form Link</w:t>
      </w:r>
      <w:r>
        <w:rPr>
          <w:color w:val="000000"/>
          <w:szCs w:val="20"/>
        </w:rPr>
        <w:t xml:space="preserve"> </w:t>
      </w:r>
      <w:hyperlink r:id="rId5" w:history="1">
        <w:r>
          <w:rPr>
            <w:rStyle w:val="Hyperlink"/>
            <w:strike/>
            <w:szCs w:val="20"/>
          </w:rPr>
          <w:t>http://www.flrules.org/Gateway/reference.asp?No=Ref-11236</w:t>
        </w:r>
      </w:hyperlink>
      <w:r>
        <w:rPr>
          <w:rStyle w:val="Hyperlink"/>
          <w:szCs w:val="20"/>
        </w:rPr>
        <w:t>.</w:t>
      </w:r>
      <w:r>
        <w:rPr>
          <w:strike/>
          <w:color w:val="000000"/>
          <w:szCs w:val="20"/>
        </w:rPr>
        <w:t>, which is hereby adopted and incorporated by reference [</w:t>
      </w:r>
      <w:proofErr w:type="spellStart"/>
      <w:r>
        <w:rPr>
          <w:color w:val="000000"/>
          <w:szCs w:val="20"/>
          <w:u w:val="single"/>
        </w:rPr>
        <w:t>T</w:t>
      </w:r>
      <w:r>
        <w:rPr>
          <w:strike/>
          <w:color w:val="000000"/>
          <w:szCs w:val="20"/>
        </w:rPr>
        <w:t>t</w:t>
      </w:r>
      <w:r>
        <w:rPr>
          <w:color w:val="000000"/>
          <w:szCs w:val="20"/>
        </w:rPr>
        <w:t>his</w:t>
      </w:r>
      <w:proofErr w:type="spellEnd"/>
      <w:r>
        <w:rPr>
          <w:color w:val="000000"/>
          <w:szCs w:val="20"/>
        </w:rPr>
        <w:t xml:space="preserve"> Form can be </w:t>
      </w:r>
      <w:r>
        <w:rPr>
          <w:color w:val="000000"/>
          <w:szCs w:val="20"/>
          <w:u w:val="single"/>
        </w:rPr>
        <w:t>accessed</w:t>
      </w:r>
      <w:r>
        <w:rPr>
          <w:color w:val="000000"/>
          <w:szCs w:val="20"/>
        </w:rPr>
        <w:t xml:space="preserve"> </w:t>
      </w:r>
      <w:r>
        <w:rPr>
          <w:strike/>
          <w:color w:val="000000"/>
          <w:szCs w:val="20"/>
        </w:rPr>
        <w:t>obtained</w:t>
      </w:r>
      <w:r>
        <w:rPr>
          <w:color w:val="000000"/>
          <w:szCs w:val="20"/>
        </w:rPr>
        <w:t xml:space="preserve"> on the </w:t>
      </w:r>
      <w:r>
        <w:rPr>
          <w:color w:val="000000"/>
          <w:szCs w:val="20"/>
          <w:u w:val="single"/>
        </w:rPr>
        <w:t>Department’s website</w:t>
      </w:r>
      <w:r>
        <w:rPr>
          <w:color w:val="000000"/>
          <w:szCs w:val="20"/>
        </w:rPr>
        <w:t> </w:t>
      </w:r>
      <w:r>
        <w:rPr>
          <w:strike/>
          <w:color w:val="000000"/>
          <w:szCs w:val="20"/>
        </w:rPr>
        <w:t>internet</w:t>
      </w:r>
      <w:r>
        <w:rPr>
          <w:color w:val="000000"/>
          <w:szCs w:val="20"/>
        </w:rPr>
        <w:t> at https://floridadep.gov/waste/permitting-compliance-assistance/content/forms-chapter-62-730-hazardous-waste, or by contacting the Permitting and Compliance Assistance Program, MS </w:t>
      </w:r>
      <w:r>
        <w:rPr>
          <w:color w:val="000000"/>
          <w:szCs w:val="20"/>
          <w:u w:val="single"/>
        </w:rPr>
        <w:t>4560</w:t>
      </w:r>
      <w:r>
        <w:rPr>
          <w:color w:val="000000"/>
          <w:szCs w:val="20"/>
        </w:rPr>
        <w:t> </w:t>
      </w:r>
      <w:r>
        <w:rPr>
          <w:strike/>
          <w:color w:val="000000"/>
          <w:szCs w:val="20"/>
        </w:rPr>
        <w:t>4500</w:t>
      </w:r>
      <w:r>
        <w:rPr>
          <w:color w:val="000000"/>
          <w:szCs w:val="20"/>
        </w:rPr>
        <w:t>, Division of Waste Management, Department of Environmental Protection, 2600 Blair Stone Road, Tallahassee, Florida 32399-2400</w:t>
      </w:r>
      <w:r>
        <w:rPr>
          <w:strike/>
          <w:color w:val="000000"/>
          <w:szCs w:val="20"/>
        </w:rPr>
        <w:t>]</w:t>
      </w:r>
      <w:r>
        <w:rPr>
          <w:color w:val="000000"/>
          <w:szCs w:val="20"/>
        </w:rPr>
        <w:t>; and,</w:t>
      </w:r>
    </w:p>
    <w:p w14:paraId="0AA35842" w14:textId="77777777" w:rsidR="00582F11" w:rsidRDefault="00582F11" w:rsidP="00582F11">
      <w:pPr>
        <w:ind w:firstLine="360"/>
        <w:textAlignment w:val="baseline"/>
        <w:rPr>
          <w:color w:val="000000"/>
          <w:szCs w:val="20"/>
        </w:rPr>
      </w:pPr>
      <w:r>
        <w:rPr>
          <w:color w:val="000000"/>
          <w:szCs w:val="20"/>
        </w:rPr>
        <w:t>3. No change.</w:t>
      </w:r>
    </w:p>
    <w:p w14:paraId="377D8A95" w14:textId="77777777" w:rsidR="00582F11" w:rsidRDefault="00582F11" w:rsidP="00582F11">
      <w:pPr>
        <w:ind w:firstLine="360"/>
        <w:textAlignment w:val="baseline"/>
        <w:rPr>
          <w:noProof/>
          <w:color w:val="000000"/>
          <w:szCs w:val="20"/>
        </w:rPr>
      </w:pPr>
      <w:r>
        <w:rPr>
          <w:color w:val="000000"/>
          <w:szCs w:val="20"/>
        </w:rPr>
        <w:t xml:space="preserve">4. </w:t>
      </w:r>
      <w:r>
        <w:rPr>
          <w:noProof/>
          <w:color w:val="000000"/>
          <w:szCs w:val="20"/>
        </w:rPr>
        <w:t>Within 60 days of receipt of a completed registration form</w:t>
      </w:r>
      <w:r>
        <w:rPr>
          <w:noProof/>
          <w:color w:val="000000"/>
          <w:szCs w:val="20"/>
          <w:u w:val="single"/>
        </w:rPr>
        <w:t>,</w:t>
      </w:r>
      <w:r>
        <w:rPr>
          <w:noProof/>
          <w:color w:val="000000"/>
          <w:szCs w:val="20"/>
        </w:rPr>
        <w:t xml:space="preserve"> </w:t>
      </w:r>
      <w:r>
        <w:rPr>
          <w:strike/>
          <w:noProof/>
          <w:color w:val="000000"/>
          <w:szCs w:val="20"/>
        </w:rPr>
        <w:t>(</w:t>
      </w:r>
      <w:r>
        <w:rPr>
          <w:noProof/>
          <w:color w:val="000000"/>
          <w:szCs w:val="20"/>
        </w:rPr>
        <w:t xml:space="preserve">DEP Form </w:t>
      </w:r>
      <w:r>
        <w:rPr>
          <w:szCs w:val="20"/>
        </w:rPr>
        <w:t>62-730.900(1)(b)</w:t>
      </w:r>
      <w:r>
        <w:rPr>
          <w:szCs w:val="20"/>
          <w:u w:val="single"/>
        </w:rPr>
        <w:t>,</w:t>
      </w:r>
      <w:r>
        <w:rPr>
          <w:szCs w:val="20"/>
        </w:rPr>
        <w:t xml:space="preserve"> [adopted by reference in </w:t>
      </w:r>
      <w:r>
        <w:rPr>
          <w:szCs w:val="20"/>
          <w:u w:val="single"/>
        </w:rPr>
        <w:t>paragraph</w:t>
      </w:r>
      <w:r>
        <w:rPr>
          <w:szCs w:val="20"/>
        </w:rPr>
        <w:t xml:space="preserve"> </w:t>
      </w:r>
      <w:r>
        <w:rPr>
          <w:strike/>
          <w:szCs w:val="20"/>
        </w:rPr>
        <w:t>subparagraph</w:t>
      </w:r>
      <w:r>
        <w:rPr>
          <w:szCs w:val="20"/>
        </w:rPr>
        <w:t xml:space="preserve"> </w:t>
      </w:r>
      <w:r>
        <w:rPr>
          <w:szCs w:val="20"/>
          <w:u w:val="single"/>
        </w:rPr>
        <w:t>62-730.150(2)(a)</w:t>
      </w:r>
      <w:r>
        <w:rPr>
          <w:szCs w:val="20"/>
        </w:rPr>
        <w:t xml:space="preserve"> </w:t>
      </w:r>
      <w:r>
        <w:rPr>
          <w:strike/>
          <w:szCs w:val="20"/>
        </w:rPr>
        <w:t>62-737.400(3)(a)2.</w:t>
      </w:r>
      <w:r>
        <w:rPr>
          <w:szCs w:val="20"/>
        </w:rPr>
        <w:t>, F.A.C.]</w:t>
      </w:r>
      <w:r>
        <w:rPr>
          <w:noProof/>
          <w:color w:val="000000"/>
          <w:szCs w:val="20"/>
        </w:rPr>
        <w:t xml:space="preserve"> and supporting material, including the registration fee if applicable, the Department shall review the form and supporting material and shall either:</w:t>
      </w:r>
    </w:p>
    <w:p w14:paraId="663A4F37" w14:textId="77777777" w:rsidR="00582F11" w:rsidRDefault="00582F11" w:rsidP="00582F11">
      <w:pPr>
        <w:ind w:firstLine="360"/>
        <w:textAlignment w:val="baseline"/>
        <w:rPr>
          <w:color w:val="000000"/>
          <w:szCs w:val="20"/>
        </w:rPr>
      </w:pPr>
      <w:r>
        <w:rPr>
          <w:noProof/>
          <w:color w:val="000000"/>
          <w:szCs w:val="20"/>
        </w:rPr>
        <w:t>a. through b. No change.</w:t>
      </w:r>
    </w:p>
    <w:p w14:paraId="65FDF00F" w14:textId="77777777" w:rsidR="00582F11" w:rsidRDefault="00582F11" w:rsidP="00582F11">
      <w:pPr>
        <w:ind w:firstLine="360"/>
        <w:textAlignment w:val="baseline"/>
        <w:rPr>
          <w:color w:val="000000"/>
          <w:szCs w:val="20"/>
        </w:rPr>
      </w:pPr>
      <w:r>
        <w:rPr>
          <w:color w:val="000000"/>
          <w:szCs w:val="20"/>
        </w:rPr>
        <w:t>5. through 6. No change.</w:t>
      </w:r>
    </w:p>
    <w:p w14:paraId="59EF4BAF" w14:textId="77777777" w:rsidR="00582F11" w:rsidRDefault="00582F11" w:rsidP="00582F11">
      <w:pPr>
        <w:ind w:firstLine="360"/>
        <w:textAlignment w:val="baseline"/>
        <w:rPr>
          <w:color w:val="000000"/>
          <w:szCs w:val="20"/>
        </w:rPr>
      </w:pPr>
      <w:r>
        <w:rPr>
          <w:color w:val="000000"/>
          <w:szCs w:val="20"/>
        </w:rPr>
        <w:t>(b) Notification.</w:t>
      </w:r>
    </w:p>
    <w:p w14:paraId="4C37696A" w14:textId="77777777" w:rsidR="00582F11" w:rsidRDefault="00582F11" w:rsidP="00582F11">
      <w:pPr>
        <w:widowControl w:val="0"/>
        <w:tabs>
          <w:tab w:val="left" w:pos="360"/>
        </w:tabs>
        <w:overflowPunct w:val="0"/>
        <w:autoSpaceDE w:val="0"/>
        <w:autoSpaceDN w:val="0"/>
        <w:adjustRightInd w:val="0"/>
        <w:spacing w:line="260" w:lineRule="atLeast"/>
        <w:ind w:firstLine="360"/>
        <w:jc w:val="both"/>
        <w:textAlignment w:val="baseline"/>
        <w:rPr>
          <w:noProof/>
          <w:color w:val="000000"/>
          <w:szCs w:val="20"/>
        </w:rPr>
      </w:pPr>
      <w:r>
        <w:rPr>
          <w:noProof/>
          <w:color w:val="000000"/>
          <w:szCs w:val="20"/>
        </w:rPr>
        <w:t xml:space="preserve">1. Before meeting or exceeding an accumulation amount of 5,000 kilograms of lamps or devices, a generator, reverse distribution handler facility, or other handler shall notify the Department per 40 C.F.R. 273.32(b) as adopted by reference under Rule 62.730.185, F.A.C., using </w:t>
      </w:r>
      <w:r>
        <w:rPr>
          <w:szCs w:val="20"/>
        </w:rPr>
        <w:t xml:space="preserve">DEP Form 62-730.900(1)(b) [adopted by reference in </w:t>
      </w:r>
      <w:r>
        <w:rPr>
          <w:szCs w:val="20"/>
          <w:u w:val="single"/>
        </w:rPr>
        <w:t>paragraph</w:t>
      </w:r>
      <w:r>
        <w:rPr>
          <w:szCs w:val="20"/>
        </w:rPr>
        <w:t xml:space="preserve"> </w:t>
      </w:r>
      <w:r>
        <w:rPr>
          <w:strike/>
          <w:szCs w:val="20"/>
        </w:rPr>
        <w:t>subparagraph</w:t>
      </w:r>
      <w:r>
        <w:rPr>
          <w:szCs w:val="20"/>
        </w:rPr>
        <w:t xml:space="preserve"> </w:t>
      </w:r>
      <w:r>
        <w:rPr>
          <w:szCs w:val="20"/>
          <w:u w:val="single"/>
        </w:rPr>
        <w:t>62-730.150(2)(a)</w:t>
      </w:r>
      <w:r>
        <w:rPr>
          <w:szCs w:val="20"/>
        </w:rPr>
        <w:t xml:space="preserve"> </w:t>
      </w:r>
      <w:r>
        <w:rPr>
          <w:strike/>
          <w:szCs w:val="20"/>
        </w:rPr>
        <w:t>62-737.400(3)(a)2.</w:t>
      </w:r>
      <w:r>
        <w:rPr>
          <w:szCs w:val="20"/>
        </w:rPr>
        <w:t>, F.A.C.</w:t>
      </w:r>
      <w:r>
        <w:rPr>
          <w:strike/>
          <w:szCs w:val="20"/>
        </w:rPr>
        <w:t>,</w:t>
      </w:r>
      <w:r>
        <w:rPr>
          <w:szCs w:val="20"/>
        </w:rPr>
        <w:t>]</w:t>
      </w:r>
      <w:r>
        <w:rPr>
          <w:noProof/>
          <w:color w:val="000000"/>
          <w:szCs w:val="20"/>
        </w:rPr>
        <w:t xml:space="preserve"> and receive a DEP/EPA ID number,</w:t>
      </w:r>
    </w:p>
    <w:p w14:paraId="04D3F67B" w14:textId="77777777" w:rsidR="00582F11" w:rsidRDefault="00582F11" w:rsidP="00582F11">
      <w:pPr>
        <w:widowControl w:val="0"/>
        <w:tabs>
          <w:tab w:val="left" w:pos="360"/>
        </w:tabs>
        <w:overflowPunct w:val="0"/>
        <w:autoSpaceDE w:val="0"/>
        <w:autoSpaceDN w:val="0"/>
        <w:adjustRightInd w:val="0"/>
        <w:spacing w:line="260" w:lineRule="atLeast"/>
        <w:ind w:firstLine="360"/>
        <w:jc w:val="both"/>
        <w:textAlignment w:val="baseline"/>
        <w:rPr>
          <w:color w:val="000000"/>
          <w:szCs w:val="20"/>
        </w:rPr>
      </w:pPr>
      <w:r>
        <w:rPr>
          <w:noProof/>
          <w:color w:val="000000"/>
          <w:szCs w:val="20"/>
        </w:rPr>
        <w:t>2. through 3. No change.</w:t>
      </w:r>
    </w:p>
    <w:p w14:paraId="52A38088" w14:textId="77777777" w:rsidR="00582F11" w:rsidRDefault="00582F11" w:rsidP="00582F11">
      <w:pPr>
        <w:ind w:firstLine="360"/>
        <w:textAlignment w:val="baseline"/>
        <w:rPr>
          <w:color w:val="000000"/>
          <w:szCs w:val="20"/>
        </w:rPr>
      </w:pPr>
      <w:r>
        <w:rPr>
          <w:color w:val="000000"/>
          <w:szCs w:val="20"/>
        </w:rPr>
        <w:t>(4) through (8) No change.</w:t>
      </w:r>
    </w:p>
    <w:p w14:paraId="13BCA2AF" w14:textId="6586D5EB" w:rsidR="00582F11" w:rsidRDefault="00582F11" w:rsidP="00582F11">
      <w:r>
        <w:rPr>
          <w:i/>
          <w:iCs/>
          <w:color w:val="000000"/>
          <w:szCs w:val="20"/>
        </w:rPr>
        <w:t>Rulemaking Authority </w:t>
      </w:r>
      <w:bookmarkStart w:id="0" w:name="_Hlk114485372"/>
      <w:r>
        <w:rPr>
          <w:i/>
          <w:iCs/>
          <w:color w:val="000000"/>
          <w:szCs w:val="20"/>
        </w:rPr>
        <w:t>403.061, 403.7186 FS</w:t>
      </w:r>
      <w:bookmarkEnd w:id="0"/>
      <w:r>
        <w:rPr>
          <w:i/>
          <w:iCs/>
          <w:color w:val="000000"/>
          <w:szCs w:val="20"/>
        </w:rPr>
        <w:t>. Law Implemented </w:t>
      </w:r>
      <w:bookmarkStart w:id="1" w:name="_Hlk114485400"/>
      <w:r>
        <w:rPr>
          <w:i/>
          <w:iCs/>
          <w:color w:val="000000"/>
          <w:szCs w:val="20"/>
        </w:rPr>
        <w:t>403.704, 403.7186, 403.721 FS</w:t>
      </w:r>
      <w:bookmarkEnd w:id="1"/>
      <w:r>
        <w:rPr>
          <w:i/>
          <w:iCs/>
          <w:color w:val="000000"/>
          <w:szCs w:val="20"/>
        </w:rPr>
        <w:t>. History–New 5-10-95, Amended 5-20-98, 1-4-09, 6-18-18, 11-13-</w:t>
      </w:r>
      <w:proofErr w:type="gramStart"/>
      <w:r>
        <w:rPr>
          <w:i/>
          <w:iCs/>
          <w:color w:val="000000"/>
          <w:szCs w:val="20"/>
        </w:rPr>
        <w:t>19</w:t>
      </w:r>
      <w:r>
        <w:rPr>
          <w:i/>
          <w:iCs/>
          <w:color w:val="000000"/>
          <w:szCs w:val="20"/>
          <w:u w:val="single"/>
        </w:rPr>
        <w:t>,   </w:t>
      </w:r>
      <w:proofErr w:type="gramEnd"/>
      <w:r>
        <w:rPr>
          <w:i/>
          <w:iCs/>
          <w:color w:val="000000"/>
          <w:szCs w:val="20"/>
          <w:u w:val="single"/>
        </w:rPr>
        <w:t>                 </w:t>
      </w:r>
      <w:r>
        <w:rPr>
          <w:i/>
          <w:iCs/>
          <w:color w:val="000000"/>
          <w:szCs w:val="20"/>
        </w:rPr>
        <w:t>.</w:t>
      </w:r>
    </w:p>
    <w:sectPr w:rsidR="00582F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F11"/>
    <w:rsid w:val="00211FC7"/>
    <w:rsid w:val="004D143D"/>
    <w:rsid w:val="00582F11"/>
    <w:rsid w:val="008C426E"/>
    <w:rsid w:val="00955D78"/>
    <w:rsid w:val="00D10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1D734"/>
  <w15:chartTrackingRefBased/>
  <w15:docId w15:val="{B9A2E12B-A3C8-4C31-B9D3-A6DD57A3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F11"/>
    <w:pPr>
      <w:spacing w:after="0" w:line="240" w:lineRule="auto"/>
    </w:pPr>
    <w:rPr>
      <w:rFonts w:ascii="Times New Roman" w:eastAsia="Calibri" w:hAnsi="Times New Roman" w:cs="Times New Roman"/>
      <w:kern w:val="0"/>
      <w:sz w:val="20"/>
      <w14:ligatures w14:val="none"/>
    </w:rPr>
  </w:style>
  <w:style w:type="paragraph" w:styleId="Heading1">
    <w:name w:val="heading 1"/>
    <w:basedOn w:val="Normal"/>
    <w:next w:val="Normal"/>
    <w:link w:val="Heading1Char"/>
    <w:uiPriority w:val="9"/>
    <w:qFormat/>
    <w:rsid w:val="00582F1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82F1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82F1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82F1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14:ligatures w14:val="standardContextual"/>
    </w:rPr>
  </w:style>
  <w:style w:type="paragraph" w:styleId="Heading5">
    <w:name w:val="heading 5"/>
    <w:basedOn w:val="Normal"/>
    <w:next w:val="Normal"/>
    <w:link w:val="Heading5Char"/>
    <w:uiPriority w:val="9"/>
    <w:semiHidden/>
    <w:unhideWhenUsed/>
    <w:qFormat/>
    <w:rsid w:val="00582F1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14:ligatures w14:val="standardContextual"/>
    </w:rPr>
  </w:style>
  <w:style w:type="paragraph" w:styleId="Heading6">
    <w:name w:val="heading 6"/>
    <w:basedOn w:val="Normal"/>
    <w:next w:val="Normal"/>
    <w:link w:val="Heading6Char"/>
    <w:uiPriority w:val="9"/>
    <w:semiHidden/>
    <w:unhideWhenUsed/>
    <w:qFormat/>
    <w:rsid w:val="00582F11"/>
    <w:pPr>
      <w:keepNext/>
      <w:keepLines/>
      <w:spacing w:before="40" w:line="259" w:lineRule="auto"/>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Heading7">
    <w:name w:val="heading 7"/>
    <w:basedOn w:val="Normal"/>
    <w:next w:val="Normal"/>
    <w:link w:val="Heading7Char"/>
    <w:uiPriority w:val="9"/>
    <w:semiHidden/>
    <w:unhideWhenUsed/>
    <w:qFormat/>
    <w:rsid w:val="00582F11"/>
    <w:pPr>
      <w:keepNext/>
      <w:keepLines/>
      <w:spacing w:before="40" w:line="259" w:lineRule="auto"/>
      <w:outlineLvl w:val="6"/>
    </w:pPr>
    <w:rPr>
      <w:rFonts w:asciiTheme="minorHAnsi" w:eastAsiaTheme="majorEastAsia" w:hAnsiTheme="minorHAnsi" w:cstheme="majorBidi"/>
      <w:color w:val="595959" w:themeColor="text1" w:themeTint="A6"/>
      <w:kern w:val="2"/>
      <w:sz w:val="22"/>
      <w14:ligatures w14:val="standardContextual"/>
    </w:rPr>
  </w:style>
  <w:style w:type="paragraph" w:styleId="Heading8">
    <w:name w:val="heading 8"/>
    <w:basedOn w:val="Normal"/>
    <w:next w:val="Normal"/>
    <w:link w:val="Heading8Char"/>
    <w:uiPriority w:val="9"/>
    <w:semiHidden/>
    <w:unhideWhenUsed/>
    <w:qFormat/>
    <w:rsid w:val="00582F11"/>
    <w:pPr>
      <w:keepNext/>
      <w:keepLines/>
      <w:spacing w:line="259" w:lineRule="auto"/>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Heading9">
    <w:name w:val="heading 9"/>
    <w:basedOn w:val="Normal"/>
    <w:next w:val="Normal"/>
    <w:link w:val="Heading9Char"/>
    <w:uiPriority w:val="9"/>
    <w:semiHidden/>
    <w:unhideWhenUsed/>
    <w:qFormat/>
    <w:rsid w:val="00582F11"/>
    <w:pPr>
      <w:keepNext/>
      <w:keepLines/>
      <w:spacing w:line="259" w:lineRule="auto"/>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F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2F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2F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2F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2F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2F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2F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2F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2F11"/>
    <w:rPr>
      <w:rFonts w:eastAsiaTheme="majorEastAsia" w:cstheme="majorBidi"/>
      <w:color w:val="272727" w:themeColor="text1" w:themeTint="D8"/>
    </w:rPr>
  </w:style>
  <w:style w:type="paragraph" w:styleId="Title">
    <w:name w:val="Title"/>
    <w:basedOn w:val="Normal"/>
    <w:next w:val="Normal"/>
    <w:link w:val="TitleChar"/>
    <w:uiPriority w:val="10"/>
    <w:qFormat/>
    <w:rsid w:val="00582F1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82F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2F1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82F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2F11"/>
    <w:pPr>
      <w:spacing w:before="160" w:after="160" w:line="259" w:lineRule="auto"/>
      <w:jc w:val="center"/>
    </w:pPr>
    <w:rPr>
      <w:rFonts w:asciiTheme="minorHAnsi" w:eastAsiaTheme="minorHAnsi" w:hAnsiTheme="minorHAnsi" w:cstheme="minorBidi"/>
      <w:i/>
      <w:iCs/>
      <w:color w:val="404040" w:themeColor="text1" w:themeTint="BF"/>
      <w:kern w:val="2"/>
      <w:sz w:val="22"/>
      <w14:ligatures w14:val="standardContextual"/>
    </w:rPr>
  </w:style>
  <w:style w:type="character" w:customStyle="1" w:styleId="QuoteChar">
    <w:name w:val="Quote Char"/>
    <w:basedOn w:val="DefaultParagraphFont"/>
    <w:link w:val="Quote"/>
    <w:uiPriority w:val="29"/>
    <w:rsid w:val="00582F11"/>
    <w:rPr>
      <w:i/>
      <w:iCs/>
      <w:color w:val="404040" w:themeColor="text1" w:themeTint="BF"/>
    </w:rPr>
  </w:style>
  <w:style w:type="paragraph" w:styleId="ListParagraph">
    <w:name w:val="List Paragraph"/>
    <w:basedOn w:val="Normal"/>
    <w:uiPriority w:val="34"/>
    <w:qFormat/>
    <w:rsid w:val="00582F11"/>
    <w:pPr>
      <w:spacing w:after="160" w:line="259" w:lineRule="auto"/>
      <w:ind w:left="720"/>
      <w:contextualSpacing/>
    </w:pPr>
    <w:rPr>
      <w:rFonts w:asciiTheme="minorHAnsi" w:eastAsiaTheme="minorHAnsi" w:hAnsiTheme="minorHAnsi" w:cstheme="minorBidi"/>
      <w:kern w:val="2"/>
      <w:sz w:val="22"/>
      <w14:ligatures w14:val="standardContextual"/>
    </w:rPr>
  </w:style>
  <w:style w:type="character" w:styleId="IntenseEmphasis">
    <w:name w:val="Intense Emphasis"/>
    <w:basedOn w:val="DefaultParagraphFont"/>
    <w:uiPriority w:val="21"/>
    <w:qFormat/>
    <w:rsid w:val="00582F11"/>
    <w:rPr>
      <w:i/>
      <w:iCs/>
      <w:color w:val="0F4761" w:themeColor="accent1" w:themeShade="BF"/>
    </w:rPr>
  </w:style>
  <w:style w:type="paragraph" w:styleId="IntenseQuote">
    <w:name w:val="Intense Quote"/>
    <w:basedOn w:val="Normal"/>
    <w:next w:val="Normal"/>
    <w:link w:val="IntenseQuoteChar"/>
    <w:uiPriority w:val="30"/>
    <w:qFormat/>
    <w:rsid w:val="00582F1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14:ligatures w14:val="standardContextual"/>
    </w:rPr>
  </w:style>
  <w:style w:type="character" w:customStyle="1" w:styleId="IntenseQuoteChar">
    <w:name w:val="Intense Quote Char"/>
    <w:basedOn w:val="DefaultParagraphFont"/>
    <w:link w:val="IntenseQuote"/>
    <w:uiPriority w:val="30"/>
    <w:rsid w:val="00582F11"/>
    <w:rPr>
      <w:i/>
      <w:iCs/>
      <w:color w:val="0F4761" w:themeColor="accent1" w:themeShade="BF"/>
    </w:rPr>
  </w:style>
  <w:style w:type="character" w:styleId="IntenseReference">
    <w:name w:val="Intense Reference"/>
    <w:basedOn w:val="DefaultParagraphFont"/>
    <w:uiPriority w:val="32"/>
    <w:qFormat/>
    <w:rsid w:val="00582F11"/>
    <w:rPr>
      <w:b/>
      <w:bCs/>
      <w:smallCaps/>
      <w:color w:val="0F4761" w:themeColor="accent1" w:themeShade="BF"/>
      <w:spacing w:val="5"/>
    </w:rPr>
  </w:style>
  <w:style w:type="character" w:styleId="Hyperlink">
    <w:name w:val="Hyperlink"/>
    <w:uiPriority w:val="99"/>
    <w:semiHidden/>
    <w:unhideWhenUsed/>
    <w:rsid w:val="00582F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15924">
      <w:bodyDiv w:val="1"/>
      <w:marLeft w:val="0"/>
      <w:marRight w:val="0"/>
      <w:marTop w:val="0"/>
      <w:marBottom w:val="0"/>
      <w:divBdr>
        <w:top w:val="none" w:sz="0" w:space="0" w:color="auto"/>
        <w:left w:val="none" w:sz="0" w:space="0" w:color="auto"/>
        <w:bottom w:val="none" w:sz="0" w:space="0" w:color="auto"/>
        <w:right w:val="none" w:sz="0" w:space="0" w:color="auto"/>
      </w:divBdr>
    </w:div>
    <w:div w:id="168586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lrules.org/Gateway/reference.asp?No=Ref-11236" TargetMode="External"/><Relationship Id="rId4" Type="http://schemas.openxmlformats.org/officeDocument/2006/relationships/hyperlink" Target="https://www.flrules.org/gateway/ruleNo.asp?id=62-737.4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446</Words>
  <Characters>2547</Characters>
  <Application>Microsoft Office Word</Application>
  <DocSecurity>0</DocSecurity>
  <Lines>21</Lines>
  <Paragraphs>5</Paragraphs>
  <ScaleCrop>false</ScaleCrop>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Curran, Kimberley</dc:creator>
  <cp:keywords/>
  <dc:description/>
  <cp:lastModifiedBy>Curran, Kimberley</cp:lastModifiedBy>
  <cp:revision>1</cp:revision>
  <dcterms:created xsi:type="dcterms:W3CDTF">2024-04-29T15:39:00Z</dcterms:created>
  <dcterms:modified xsi:type="dcterms:W3CDTF">2024-04-29T15:43:00Z</dcterms:modified>
</cp:coreProperties>
</file>