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35CF28" w14:textId="626D7E99" w:rsidR="008864FF" w:rsidRDefault="009870D0" w:rsidP="00404DAE">
      <w:pPr>
        <w:pStyle w:val="paragraph"/>
        <w:spacing w:before="0" w:beforeAutospacing="0" w:after="0" w:afterAutospacing="0"/>
        <w:textAlignment w:val="baseline"/>
        <w:rPr>
          <w:rStyle w:val="normaltextrun"/>
          <w:b/>
          <w:bCs/>
          <w:u w:val="single"/>
          <w:shd w:val="clear" w:color="auto" w:fill="FFFFFF"/>
        </w:rPr>
      </w:pPr>
      <w:r>
        <w:rPr>
          <w:rStyle w:val="normaltextrun"/>
          <w:b/>
          <w:bCs/>
          <w:u w:val="single"/>
          <w:shd w:val="clear" w:color="auto" w:fill="FFFFFF"/>
        </w:rPr>
        <w:t xml:space="preserve">EPA Comments: </w:t>
      </w:r>
      <w:r w:rsidR="00DD71B3">
        <w:rPr>
          <w:rStyle w:val="normaltextrun"/>
          <w:b/>
          <w:bCs/>
          <w:u w:val="single"/>
          <w:shd w:val="clear" w:color="auto" w:fill="FFFFFF"/>
        </w:rPr>
        <w:t>Florida CCR Draft Package</w:t>
      </w:r>
      <w:r w:rsidR="000227B6">
        <w:rPr>
          <w:rStyle w:val="normaltextrun"/>
          <w:b/>
          <w:bCs/>
          <w:u w:val="single"/>
          <w:shd w:val="clear" w:color="auto" w:fill="FFFFFF"/>
        </w:rPr>
        <w:t xml:space="preserve"> </w:t>
      </w:r>
    </w:p>
    <w:p w14:paraId="01736DAD" w14:textId="47AB9667" w:rsidR="00DD71B3" w:rsidRDefault="006840D6" w:rsidP="00404DAE">
      <w:pPr>
        <w:pStyle w:val="paragraph"/>
        <w:spacing w:before="0" w:beforeAutospacing="0" w:after="0" w:afterAutospacing="0"/>
        <w:textAlignment w:val="baseline"/>
        <w:rPr>
          <w:rStyle w:val="normaltextrun"/>
          <w:b/>
          <w:bCs/>
          <w:u w:val="single"/>
          <w:shd w:val="clear" w:color="auto" w:fill="FFFFFF"/>
        </w:rPr>
      </w:pPr>
      <w:r>
        <w:rPr>
          <w:rStyle w:val="normaltextrun"/>
          <w:shd w:val="clear" w:color="auto" w:fill="FFFFFF"/>
        </w:rPr>
        <w:t xml:space="preserve">Florida Rules: </w:t>
      </w:r>
      <w:r w:rsidR="009C39F4">
        <w:rPr>
          <w:rStyle w:val="normaltextrun"/>
          <w:shd w:val="clear" w:color="auto" w:fill="FFFFFF"/>
        </w:rPr>
        <w:t>Submitted version</w:t>
      </w:r>
      <w:r w:rsidR="000227B6" w:rsidRPr="00CC4842">
        <w:rPr>
          <w:rStyle w:val="normaltextrun"/>
          <w:shd w:val="clear" w:color="auto" w:fill="FFFFFF"/>
        </w:rPr>
        <w:t xml:space="preserve"> as of </w:t>
      </w:r>
      <w:r w:rsidR="00392F28" w:rsidRPr="00CC4842">
        <w:rPr>
          <w:rStyle w:val="normaltextrun"/>
          <w:shd w:val="clear" w:color="auto" w:fill="FFFFFF"/>
        </w:rPr>
        <w:t>July 16, 2021</w:t>
      </w:r>
      <w:r w:rsidR="00392F28">
        <w:rPr>
          <w:rStyle w:val="normaltextrun"/>
          <w:b/>
          <w:bCs/>
          <w:u w:val="single"/>
          <w:shd w:val="clear" w:color="auto" w:fill="FFFFFF"/>
        </w:rPr>
        <w:t xml:space="preserve"> </w:t>
      </w:r>
    </w:p>
    <w:p w14:paraId="1D635D61" w14:textId="08020CE9" w:rsidR="00DD71B3" w:rsidRDefault="00DD71B3" w:rsidP="00404DAE">
      <w:pPr>
        <w:pStyle w:val="paragraph"/>
        <w:spacing w:before="0" w:beforeAutospacing="0" w:after="0" w:afterAutospacing="0"/>
        <w:textAlignment w:val="baseline"/>
        <w:rPr>
          <w:rStyle w:val="normaltextrun"/>
          <w:b/>
          <w:bCs/>
          <w:u w:val="single"/>
          <w:shd w:val="clear" w:color="auto" w:fill="FFFFFF"/>
        </w:rPr>
      </w:pPr>
    </w:p>
    <w:p w14:paraId="0CC840B4" w14:textId="60FAACDE" w:rsidR="00DD71B3" w:rsidRDefault="00DD71B3" w:rsidP="00404DAE">
      <w:pPr>
        <w:pStyle w:val="paragraph"/>
        <w:spacing w:before="0" w:beforeAutospacing="0" w:after="0" w:afterAutospacing="0"/>
        <w:textAlignment w:val="baseline"/>
        <w:rPr>
          <w:rStyle w:val="normaltextrun"/>
          <w:shd w:val="clear" w:color="auto" w:fill="FFFFFF"/>
        </w:rPr>
      </w:pPr>
      <w:r>
        <w:rPr>
          <w:rStyle w:val="normaltextrun"/>
          <w:b/>
          <w:bCs/>
          <w:u w:val="single"/>
          <w:shd w:val="clear" w:color="auto" w:fill="FFFFFF"/>
        </w:rPr>
        <w:t>General:</w:t>
      </w:r>
    </w:p>
    <w:p w14:paraId="53C6F64F" w14:textId="66AE4D59" w:rsidR="002530FE" w:rsidRPr="00F905FF" w:rsidRDefault="6A9737E1" w:rsidP="002530FE">
      <w:pPr>
        <w:pStyle w:val="paragraph"/>
        <w:numPr>
          <w:ilvl w:val="0"/>
          <w:numId w:val="10"/>
        </w:numPr>
        <w:spacing w:before="0" w:beforeAutospacing="0" w:after="0" w:afterAutospacing="0"/>
        <w:textAlignment w:val="baseline"/>
        <w:rPr>
          <w:rStyle w:val="normaltextrun"/>
          <w:rFonts w:eastAsiaTheme="minorEastAsia"/>
          <w:shd w:val="clear" w:color="auto" w:fill="FFFFFF"/>
        </w:rPr>
      </w:pPr>
      <w:r>
        <w:t xml:space="preserve">Florida adopts </w:t>
      </w:r>
      <w:r w:rsidR="00DE2068">
        <w:t xml:space="preserve">most of </w:t>
      </w:r>
      <w:r w:rsidR="00CC1B4C">
        <w:t xml:space="preserve">the federal 40 CFR Part 257 regulations </w:t>
      </w:r>
      <w:r>
        <w:t xml:space="preserve">via reference </w:t>
      </w:r>
      <w:r w:rsidR="00CC1B4C">
        <w:t xml:space="preserve">as of </w:t>
      </w:r>
      <w:r w:rsidRPr="00947EC2">
        <w:rPr>
          <w:rStyle w:val="normaltextrun"/>
          <w:shd w:val="clear" w:color="auto" w:fill="FFFFFF"/>
        </w:rPr>
        <w:t xml:space="preserve">August 5, 2016, </w:t>
      </w:r>
      <w:r w:rsidR="00CC1B4C">
        <w:rPr>
          <w:rStyle w:val="normaltextrun"/>
          <w:shd w:val="clear" w:color="auto" w:fill="FFFFFF"/>
        </w:rPr>
        <w:t xml:space="preserve">with the </w:t>
      </w:r>
      <w:r w:rsidRPr="00947EC2">
        <w:rPr>
          <w:rStyle w:val="normaltextrun"/>
          <w:shd w:val="clear" w:color="auto" w:fill="FFFFFF"/>
        </w:rPr>
        <w:t>August 28, 2020</w:t>
      </w:r>
      <w:r>
        <w:rPr>
          <w:rStyle w:val="normaltextrun"/>
          <w:shd w:val="clear" w:color="auto" w:fill="FFFFFF"/>
        </w:rPr>
        <w:t xml:space="preserve">, and </w:t>
      </w:r>
      <w:r w:rsidRPr="00947EC2">
        <w:rPr>
          <w:rStyle w:val="normaltextrun"/>
          <w:shd w:val="clear" w:color="auto" w:fill="FFFFFF"/>
        </w:rPr>
        <w:t xml:space="preserve">November 12, </w:t>
      </w:r>
      <w:r w:rsidRPr="00F905FF">
        <w:rPr>
          <w:rStyle w:val="normaltextrun"/>
          <w:shd w:val="clear" w:color="auto" w:fill="FFFFFF"/>
        </w:rPr>
        <w:t>2020</w:t>
      </w:r>
      <w:r w:rsidR="0093166D">
        <w:rPr>
          <w:rStyle w:val="normaltextrun"/>
          <w:shd w:val="clear" w:color="auto" w:fill="FFFFFF"/>
        </w:rPr>
        <w:t xml:space="preserve"> amendments (which include the Part A and Part B Rules)</w:t>
      </w:r>
      <w:r w:rsidR="00DE2068">
        <w:rPr>
          <w:rStyle w:val="normaltextrun"/>
          <w:shd w:val="clear" w:color="auto" w:fill="FFFFFF"/>
        </w:rPr>
        <w:t>.</w:t>
      </w:r>
      <w:r w:rsidR="002530FE" w:rsidRPr="00F905FF">
        <w:rPr>
          <w:rStyle w:val="normaltextrun"/>
          <w:shd w:val="clear" w:color="auto" w:fill="FFFFFF"/>
        </w:rPr>
        <w:t xml:space="preserve"> </w:t>
      </w:r>
      <w:r w:rsidR="4A153025" w:rsidRPr="00F905FF">
        <w:t>However,</w:t>
      </w:r>
      <w:r w:rsidRPr="00F905FF">
        <w:t xml:space="preserve"> </w:t>
      </w:r>
      <w:r w:rsidR="0069217B">
        <w:t xml:space="preserve">the federal </w:t>
      </w:r>
      <w:r w:rsidRPr="00F905FF">
        <w:t xml:space="preserve">definitions are </w:t>
      </w:r>
      <w:r w:rsidR="4A153025" w:rsidRPr="00F905FF">
        <w:rPr>
          <w:rStyle w:val="normaltextrun"/>
          <w:shd w:val="clear" w:color="auto" w:fill="FFFFFF"/>
        </w:rPr>
        <w:t xml:space="preserve">only adopted </w:t>
      </w:r>
      <w:r w:rsidR="0069217B">
        <w:rPr>
          <w:rStyle w:val="normaltextrun"/>
          <w:shd w:val="clear" w:color="auto" w:fill="FFFFFF"/>
        </w:rPr>
        <w:t xml:space="preserve">as of </w:t>
      </w:r>
      <w:r w:rsidR="4A153025" w:rsidRPr="00F905FF">
        <w:rPr>
          <w:rStyle w:val="normaltextrun"/>
          <w:shd w:val="clear" w:color="auto" w:fill="FFFFFF"/>
        </w:rPr>
        <w:t xml:space="preserve">August 5, 2016. </w:t>
      </w:r>
      <w:r w:rsidR="00AD7AD4" w:rsidRPr="00F905FF">
        <w:rPr>
          <w:rStyle w:val="normaltextrun"/>
          <w:shd w:val="clear" w:color="auto" w:fill="FFFFFF"/>
        </w:rPr>
        <w:t>T</w:t>
      </w:r>
      <w:r w:rsidR="004E3693" w:rsidRPr="00F905FF">
        <w:rPr>
          <w:rStyle w:val="normaltextrun"/>
          <w:shd w:val="clear" w:color="auto" w:fill="FFFFFF"/>
        </w:rPr>
        <w:t xml:space="preserve">he Part A Rule (August 28, 2020) added a few definitions, including </w:t>
      </w:r>
      <w:r w:rsidR="0069217B">
        <w:rPr>
          <w:rStyle w:val="normaltextrun"/>
          <w:shd w:val="clear" w:color="auto" w:fill="FFFFFF"/>
        </w:rPr>
        <w:t>“</w:t>
      </w:r>
      <w:r w:rsidR="004E3693" w:rsidRPr="00F905FF">
        <w:rPr>
          <w:rStyle w:val="normaltextrun"/>
          <w:shd w:val="clear" w:color="auto" w:fill="FFFFFF"/>
        </w:rPr>
        <w:t>Eligible unlined CCR surface impoundment,</w:t>
      </w:r>
      <w:r w:rsidR="0069217B">
        <w:rPr>
          <w:rStyle w:val="normaltextrun"/>
          <w:shd w:val="clear" w:color="auto" w:fill="FFFFFF"/>
        </w:rPr>
        <w:t>”</w:t>
      </w:r>
      <w:r w:rsidR="004E3693" w:rsidRPr="00F905FF">
        <w:rPr>
          <w:rStyle w:val="normaltextrun"/>
          <w:shd w:val="clear" w:color="auto" w:fill="FFFFFF"/>
        </w:rPr>
        <w:t xml:space="preserve"> </w:t>
      </w:r>
      <w:r w:rsidR="0069217B">
        <w:rPr>
          <w:rStyle w:val="normaltextrun"/>
          <w:shd w:val="clear" w:color="auto" w:fill="FFFFFF"/>
        </w:rPr>
        <w:t>“</w:t>
      </w:r>
      <w:r w:rsidR="004E3693" w:rsidRPr="00F905FF">
        <w:rPr>
          <w:rStyle w:val="normaltextrun"/>
          <w:shd w:val="clear" w:color="auto" w:fill="FFFFFF"/>
        </w:rPr>
        <w:t>Technically feasible,</w:t>
      </w:r>
      <w:r w:rsidR="0069217B">
        <w:rPr>
          <w:rStyle w:val="normaltextrun"/>
          <w:shd w:val="clear" w:color="auto" w:fill="FFFFFF"/>
        </w:rPr>
        <w:t>”</w:t>
      </w:r>
      <w:r w:rsidR="004E3693" w:rsidRPr="00F905FF">
        <w:rPr>
          <w:rStyle w:val="normaltextrun"/>
          <w:shd w:val="clear" w:color="auto" w:fill="FFFFFF"/>
        </w:rPr>
        <w:t xml:space="preserve"> and </w:t>
      </w:r>
      <w:r w:rsidR="0069217B">
        <w:rPr>
          <w:rStyle w:val="normaltextrun"/>
          <w:shd w:val="clear" w:color="auto" w:fill="FFFFFF"/>
        </w:rPr>
        <w:t>“</w:t>
      </w:r>
      <w:r w:rsidR="004E3693" w:rsidRPr="00F905FF">
        <w:rPr>
          <w:rStyle w:val="normaltextrun"/>
          <w:shd w:val="clear" w:color="auto" w:fill="FFFFFF"/>
        </w:rPr>
        <w:t>Technically infeasible</w:t>
      </w:r>
      <w:r w:rsidR="002530FE" w:rsidRPr="00F905FF">
        <w:rPr>
          <w:rStyle w:val="normaltextrun"/>
          <w:shd w:val="clear" w:color="auto" w:fill="FFFFFF"/>
        </w:rPr>
        <w:t>.</w:t>
      </w:r>
      <w:r w:rsidR="0069217B">
        <w:rPr>
          <w:rStyle w:val="normaltextrun"/>
          <w:shd w:val="clear" w:color="auto" w:fill="FFFFFF"/>
        </w:rPr>
        <w:t>”</w:t>
      </w:r>
      <w:r w:rsidR="002530FE" w:rsidRPr="00F905FF">
        <w:rPr>
          <w:rStyle w:val="normaltextrun"/>
          <w:shd w:val="clear" w:color="auto" w:fill="FFFFFF"/>
        </w:rPr>
        <w:t xml:space="preserve"> EPA recommends FDEP adopt </w:t>
      </w:r>
      <w:r w:rsidR="00DE2068">
        <w:rPr>
          <w:rStyle w:val="normaltextrun"/>
          <w:shd w:val="clear" w:color="auto" w:fill="FFFFFF"/>
        </w:rPr>
        <w:t xml:space="preserve">40 CFR </w:t>
      </w:r>
      <w:r w:rsidR="00396BB1">
        <w:rPr>
          <w:rStyle w:val="normaltextrun"/>
          <w:shd w:val="clear" w:color="auto" w:fill="FFFFFF"/>
        </w:rPr>
        <w:t xml:space="preserve">§ </w:t>
      </w:r>
      <w:r w:rsidR="00DE2068">
        <w:rPr>
          <w:rStyle w:val="normaltextrun"/>
          <w:shd w:val="clear" w:color="auto" w:fill="FFFFFF"/>
        </w:rPr>
        <w:t xml:space="preserve">257.53 (the </w:t>
      </w:r>
      <w:r w:rsidR="002530FE" w:rsidRPr="00F905FF">
        <w:rPr>
          <w:rStyle w:val="normaltextrun"/>
          <w:shd w:val="clear" w:color="auto" w:fill="FFFFFF"/>
        </w:rPr>
        <w:t>definitions</w:t>
      </w:r>
      <w:r w:rsidR="00DE2068">
        <w:rPr>
          <w:rStyle w:val="normaltextrun"/>
          <w:shd w:val="clear" w:color="auto" w:fill="FFFFFF"/>
        </w:rPr>
        <w:t>)</w:t>
      </w:r>
      <w:r w:rsidR="002530FE" w:rsidRPr="00F905FF">
        <w:rPr>
          <w:rStyle w:val="normaltextrun"/>
          <w:shd w:val="clear" w:color="auto" w:fill="FFFFFF"/>
        </w:rPr>
        <w:t xml:space="preserve"> </w:t>
      </w:r>
      <w:r w:rsidR="0069217B">
        <w:rPr>
          <w:rStyle w:val="normaltextrun"/>
          <w:shd w:val="clear" w:color="auto" w:fill="FFFFFF"/>
        </w:rPr>
        <w:t xml:space="preserve">revised </w:t>
      </w:r>
      <w:r w:rsidR="1AEFA921">
        <w:rPr>
          <w:rStyle w:val="normaltextrun"/>
          <w:shd w:val="clear" w:color="auto" w:fill="FFFFFF"/>
        </w:rPr>
        <w:t>as</w:t>
      </w:r>
      <w:r w:rsidR="009F008D">
        <w:rPr>
          <w:rStyle w:val="normaltextrun"/>
          <w:shd w:val="clear" w:color="auto" w:fill="FFFFFF"/>
        </w:rPr>
        <w:t xml:space="preserve"> of August 28, 2020</w:t>
      </w:r>
      <w:r w:rsidR="0069217B">
        <w:rPr>
          <w:rStyle w:val="normaltextrun"/>
          <w:shd w:val="clear" w:color="auto" w:fill="FFFFFF"/>
        </w:rPr>
        <w:t xml:space="preserve"> in order to adopt the relevant terms pertaining to the Part A Rule</w:t>
      </w:r>
      <w:r w:rsidR="002530FE" w:rsidRPr="00F905FF">
        <w:rPr>
          <w:rStyle w:val="normaltextrun"/>
          <w:shd w:val="clear" w:color="auto" w:fill="FFFFFF"/>
        </w:rPr>
        <w:t xml:space="preserve">. </w:t>
      </w:r>
      <w:r w:rsidR="006B140D">
        <w:rPr>
          <w:rStyle w:val="normaltextrun"/>
          <w:shd w:val="clear" w:color="auto" w:fill="FFFFFF"/>
        </w:rPr>
        <w:t xml:space="preserve">If Florida </w:t>
      </w:r>
      <w:r w:rsidR="00C161FD">
        <w:rPr>
          <w:rStyle w:val="normaltextrun"/>
          <w:shd w:val="clear" w:color="auto" w:fill="FFFFFF"/>
        </w:rPr>
        <w:t>chooses to not adopt these terms</w:t>
      </w:r>
      <w:r w:rsidR="004C63FA">
        <w:rPr>
          <w:rStyle w:val="normaltextrun"/>
          <w:shd w:val="clear" w:color="auto" w:fill="FFFFFF"/>
        </w:rPr>
        <w:t>, the federal definitions for these terms would continue to apply.</w:t>
      </w:r>
      <w:r w:rsidR="00C81F87">
        <w:rPr>
          <w:rStyle w:val="normaltextrun"/>
          <w:shd w:val="clear" w:color="auto" w:fill="FFFFFF"/>
        </w:rPr>
        <w:t xml:space="preserve"> </w:t>
      </w:r>
    </w:p>
    <w:p w14:paraId="22DEE38E" w14:textId="536A78E4" w:rsidR="002D02D9" w:rsidRPr="00E44537" w:rsidRDefault="008C4373" w:rsidP="00BD4A54">
      <w:pPr>
        <w:pStyle w:val="paragraph"/>
        <w:numPr>
          <w:ilvl w:val="0"/>
          <w:numId w:val="10"/>
        </w:numPr>
        <w:spacing w:before="0" w:beforeAutospacing="0" w:after="0" w:afterAutospacing="0"/>
        <w:textAlignment w:val="baseline"/>
        <w:rPr>
          <w:rFonts w:eastAsiaTheme="minorEastAsia"/>
          <w:shd w:val="clear" w:color="auto" w:fill="FFFFFF"/>
        </w:rPr>
      </w:pPr>
      <w:r>
        <w:rPr>
          <w:rFonts w:eastAsiaTheme="minorEastAsia"/>
          <w:shd w:val="clear" w:color="auto" w:fill="FFFFFF"/>
        </w:rPr>
        <w:t xml:space="preserve">Note that </w:t>
      </w:r>
      <w:r w:rsidR="5FEC0E7C" w:rsidRPr="52CBBEF8">
        <w:rPr>
          <w:rFonts w:eastAsiaTheme="minorEastAsia"/>
        </w:rPr>
        <w:t xml:space="preserve">§ </w:t>
      </w:r>
      <w:r w:rsidR="7A8855E5" w:rsidRPr="52CBBEF8">
        <w:rPr>
          <w:rFonts w:eastAsiaTheme="minorEastAsia"/>
          <w:shd w:val="clear" w:color="auto" w:fill="FFFFFF"/>
        </w:rPr>
        <w:t>257.101(b)(1)(ii)</w:t>
      </w:r>
      <w:r w:rsidR="789BEA8E" w:rsidRPr="52CBBEF8">
        <w:rPr>
          <w:rFonts w:eastAsiaTheme="minorEastAsia"/>
          <w:shd w:val="clear" w:color="auto" w:fill="FFFFFF"/>
        </w:rPr>
        <w:t xml:space="preserve"> </w:t>
      </w:r>
      <w:r>
        <w:rPr>
          <w:rFonts w:eastAsiaTheme="minorEastAsia"/>
          <w:shd w:val="clear" w:color="auto" w:fill="FFFFFF"/>
        </w:rPr>
        <w:t>w</w:t>
      </w:r>
      <w:r w:rsidR="789BEA8E" w:rsidRPr="52CBBEF8">
        <w:rPr>
          <w:rFonts w:eastAsiaTheme="minorEastAsia"/>
          <w:shd w:val="clear" w:color="auto" w:fill="FFFFFF"/>
        </w:rPr>
        <w:t xml:space="preserve">as amended by </w:t>
      </w:r>
      <w:r>
        <w:rPr>
          <w:rFonts w:eastAsiaTheme="minorEastAsia"/>
          <w:shd w:val="clear" w:color="auto" w:fill="FFFFFF"/>
        </w:rPr>
        <w:t xml:space="preserve">the </w:t>
      </w:r>
      <w:r w:rsidR="789BEA8E" w:rsidRPr="52CBBEF8">
        <w:rPr>
          <w:rFonts w:eastAsiaTheme="minorEastAsia"/>
          <w:shd w:val="clear" w:color="auto" w:fill="FFFFFF"/>
        </w:rPr>
        <w:t>July 30, 2018 Rule</w:t>
      </w:r>
      <w:r w:rsidR="78D10CC7" w:rsidRPr="52CBBEF8">
        <w:rPr>
          <w:rFonts w:eastAsiaTheme="minorEastAsia"/>
        </w:rPr>
        <w:t>,</w:t>
      </w:r>
      <w:r w:rsidR="0744EB0B" w:rsidRPr="52CBBEF8">
        <w:rPr>
          <w:rFonts w:eastAsiaTheme="minorEastAsia"/>
          <w:shd w:val="clear" w:color="auto" w:fill="FFFFFF"/>
        </w:rPr>
        <w:t xml:space="preserve"> </w:t>
      </w:r>
      <w:r>
        <w:rPr>
          <w:rFonts w:eastAsiaTheme="minorEastAsia"/>
          <w:shd w:val="clear" w:color="auto" w:fill="FFFFFF"/>
        </w:rPr>
        <w:t>which Florida does not adopt. F</w:t>
      </w:r>
      <w:r w:rsidR="00491828">
        <w:rPr>
          <w:rFonts w:eastAsiaTheme="minorEastAsia"/>
          <w:shd w:val="clear" w:color="auto" w:fill="FFFFFF"/>
        </w:rPr>
        <w:t>lorida</w:t>
      </w:r>
      <w:r>
        <w:rPr>
          <w:rFonts w:eastAsiaTheme="minorEastAsia"/>
          <w:shd w:val="clear" w:color="auto" w:fill="FFFFFF"/>
        </w:rPr>
        <w:t xml:space="preserve"> does adopt </w:t>
      </w:r>
      <w:r w:rsidR="00396BB1">
        <w:rPr>
          <w:rFonts w:eastAsiaTheme="minorEastAsia"/>
          <w:shd w:val="clear" w:color="auto" w:fill="FFFFFF"/>
        </w:rPr>
        <w:t xml:space="preserve">§ </w:t>
      </w:r>
      <w:r>
        <w:rPr>
          <w:rFonts w:eastAsiaTheme="minorEastAsia"/>
          <w:shd w:val="clear" w:color="auto" w:fill="FFFFFF"/>
        </w:rPr>
        <w:t>257.101(b)(1)(</w:t>
      </w:r>
      <w:proofErr w:type="spellStart"/>
      <w:r>
        <w:rPr>
          <w:rFonts w:eastAsiaTheme="minorEastAsia"/>
          <w:shd w:val="clear" w:color="auto" w:fill="FFFFFF"/>
        </w:rPr>
        <w:t>i</w:t>
      </w:r>
      <w:proofErr w:type="spellEnd"/>
      <w:r>
        <w:rPr>
          <w:rFonts w:eastAsiaTheme="minorEastAsia"/>
          <w:shd w:val="clear" w:color="auto" w:fill="FFFFFF"/>
        </w:rPr>
        <w:t xml:space="preserve">), which was amended by the Part A Rule. Section 257.101(b)(1)(ii) requires that </w:t>
      </w:r>
      <w:r w:rsidR="7A8855E5" w:rsidRPr="52CBBEF8">
        <w:rPr>
          <w:rFonts w:eastAsiaTheme="minorEastAsia"/>
          <w:shd w:val="clear" w:color="auto" w:fill="FFFFFF"/>
        </w:rPr>
        <w:t xml:space="preserve">an owner or operator of an existing surface impoundment </w:t>
      </w:r>
      <w:r>
        <w:rPr>
          <w:rFonts w:eastAsiaTheme="minorEastAsia"/>
          <w:shd w:val="clear" w:color="auto" w:fill="FFFFFF"/>
        </w:rPr>
        <w:t>must</w:t>
      </w:r>
      <w:r w:rsidR="7A8855E5" w:rsidRPr="52CBBEF8">
        <w:rPr>
          <w:rFonts w:eastAsiaTheme="minorEastAsia"/>
          <w:shd w:val="clear" w:color="auto" w:fill="FFFFFF"/>
        </w:rPr>
        <w:t xml:space="preserve"> stop placing CCR and non-CCR wast</w:t>
      </w:r>
      <w:r w:rsidR="217CD787" w:rsidRPr="52CBBEF8">
        <w:rPr>
          <w:rFonts w:eastAsiaTheme="minorEastAsia"/>
          <w:shd w:val="clear" w:color="auto" w:fill="FFFFFF"/>
        </w:rPr>
        <w:t>e st</w:t>
      </w:r>
      <w:r w:rsidR="7A8855E5" w:rsidRPr="52CBBEF8">
        <w:rPr>
          <w:rFonts w:eastAsiaTheme="minorEastAsia"/>
          <w:shd w:val="clear" w:color="auto" w:fill="FFFFFF"/>
        </w:rPr>
        <w:t xml:space="preserve">reams into a CCR unit and close the CCR unit </w:t>
      </w:r>
      <w:r>
        <w:rPr>
          <w:rFonts w:eastAsiaTheme="minorEastAsia"/>
          <w:shd w:val="clear" w:color="auto" w:fill="FFFFFF"/>
        </w:rPr>
        <w:t xml:space="preserve">if it fails </w:t>
      </w:r>
      <w:r w:rsidR="7A8855E5" w:rsidRPr="52CBBEF8">
        <w:rPr>
          <w:rFonts w:eastAsiaTheme="minorEastAsia"/>
          <w:shd w:val="clear" w:color="auto" w:fill="FFFFFF"/>
        </w:rPr>
        <w:t xml:space="preserve">to comply with the location standards specified in </w:t>
      </w:r>
      <w:r w:rsidR="5FEC0E7C" w:rsidRPr="52CBBEF8">
        <w:rPr>
          <w:rFonts w:eastAsiaTheme="minorEastAsia"/>
        </w:rPr>
        <w:t xml:space="preserve">§§ </w:t>
      </w:r>
      <w:r w:rsidR="7A8855E5" w:rsidRPr="52CBBEF8">
        <w:rPr>
          <w:rFonts w:eastAsiaTheme="minorEastAsia"/>
          <w:shd w:val="clear" w:color="auto" w:fill="FFFFFF"/>
        </w:rPr>
        <w:t>257.61(a), 257.62(a), 257.63(a), and 257.64(a).</w:t>
      </w:r>
      <w:r w:rsidR="1BCCB8B4" w:rsidRPr="52CBBEF8">
        <w:rPr>
          <w:rFonts w:eastAsiaTheme="minorEastAsia"/>
          <w:shd w:val="clear" w:color="auto" w:fill="FFFFFF"/>
        </w:rPr>
        <w:t xml:space="preserve"> </w:t>
      </w:r>
      <w:r w:rsidR="0004177B">
        <w:rPr>
          <w:rFonts w:eastAsiaTheme="minorEastAsia"/>
          <w:shd w:val="clear" w:color="auto" w:fill="FFFFFF"/>
        </w:rPr>
        <w:t xml:space="preserve">Section </w:t>
      </w:r>
      <w:r w:rsidR="00685508">
        <w:rPr>
          <w:rFonts w:eastAsiaTheme="minorEastAsia"/>
          <w:shd w:val="clear" w:color="auto" w:fill="FFFFFF"/>
        </w:rPr>
        <w:t>257.101(</w:t>
      </w:r>
      <w:r w:rsidR="00F04A17">
        <w:rPr>
          <w:rFonts w:eastAsiaTheme="minorEastAsia"/>
          <w:shd w:val="clear" w:color="auto" w:fill="FFFFFF"/>
        </w:rPr>
        <w:t>b</w:t>
      </w:r>
      <w:r w:rsidR="00685508">
        <w:rPr>
          <w:rFonts w:eastAsiaTheme="minorEastAsia"/>
          <w:shd w:val="clear" w:color="auto" w:fill="FFFFFF"/>
        </w:rPr>
        <w:t>)(1)(</w:t>
      </w:r>
      <w:proofErr w:type="spellStart"/>
      <w:r w:rsidR="00685508">
        <w:rPr>
          <w:rFonts w:eastAsiaTheme="minorEastAsia"/>
          <w:shd w:val="clear" w:color="auto" w:fill="FFFFFF"/>
        </w:rPr>
        <w:t>i</w:t>
      </w:r>
      <w:proofErr w:type="spellEnd"/>
      <w:r w:rsidR="00685508">
        <w:rPr>
          <w:rFonts w:eastAsiaTheme="minorEastAsia"/>
          <w:shd w:val="clear" w:color="auto" w:fill="FFFFFF"/>
        </w:rPr>
        <w:t>) only addresses the aquifer location standard</w:t>
      </w:r>
      <w:r w:rsidR="00396BB1">
        <w:rPr>
          <w:rFonts w:eastAsiaTheme="minorEastAsia"/>
          <w:shd w:val="clear" w:color="auto" w:fill="FFFFFF"/>
        </w:rPr>
        <w:t xml:space="preserve"> (§ 257.60(a))</w:t>
      </w:r>
      <w:r w:rsidR="00685508">
        <w:rPr>
          <w:rFonts w:eastAsiaTheme="minorEastAsia"/>
          <w:shd w:val="clear" w:color="auto" w:fill="FFFFFF"/>
        </w:rPr>
        <w:t>, not the other location standards. Th</w:t>
      </w:r>
      <w:r w:rsidR="00F04A17">
        <w:rPr>
          <w:rFonts w:eastAsiaTheme="minorEastAsia"/>
          <w:shd w:val="clear" w:color="auto" w:fill="FFFFFF"/>
        </w:rPr>
        <w:t>e omission of § 257.101(b)(1)(ii)</w:t>
      </w:r>
      <w:r w:rsidR="00685508">
        <w:rPr>
          <w:rFonts w:eastAsiaTheme="minorEastAsia"/>
          <w:shd w:val="clear" w:color="auto" w:fill="FFFFFF"/>
        </w:rPr>
        <w:t xml:space="preserve"> appears to be an inadvertent consequence of not adopting the July 2018 Rule. It is recommended that FDEP adopt </w:t>
      </w:r>
      <w:r w:rsidR="00F04A17">
        <w:rPr>
          <w:rFonts w:eastAsiaTheme="minorEastAsia"/>
          <w:shd w:val="clear" w:color="auto" w:fill="FFFFFF"/>
        </w:rPr>
        <w:t xml:space="preserve">§ </w:t>
      </w:r>
      <w:r w:rsidR="00685508">
        <w:rPr>
          <w:rFonts w:eastAsiaTheme="minorEastAsia"/>
          <w:shd w:val="clear" w:color="auto" w:fill="FFFFFF"/>
        </w:rPr>
        <w:t>257.101(b)(1) as amended by the July 2018 Rule and the August 2020 Rule. If not</w:t>
      </w:r>
      <w:r w:rsidR="00D42B07">
        <w:rPr>
          <w:rFonts w:eastAsiaTheme="minorEastAsia"/>
          <w:shd w:val="clear" w:color="auto" w:fill="FFFFFF"/>
        </w:rPr>
        <w:t>,</w:t>
      </w:r>
      <w:r w:rsidR="00685508">
        <w:rPr>
          <w:rFonts w:eastAsiaTheme="minorEastAsia"/>
          <w:shd w:val="clear" w:color="auto" w:fill="FFFFFF"/>
        </w:rPr>
        <w:t xml:space="preserve"> </w:t>
      </w:r>
      <w:r w:rsidR="00B97AC9">
        <w:rPr>
          <w:rFonts w:eastAsiaTheme="minorEastAsia"/>
          <w:shd w:val="clear" w:color="auto" w:fill="FFFFFF"/>
        </w:rPr>
        <w:t>the federal</w:t>
      </w:r>
      <w:r w:rsidR="00D42B07">
        <w:rPr>
          <w:rFonts w:eastAsiaTheme="minorEastAsia"/>
          <w:shd w:val="clear" w:color="auto" w:fill="FFFFFF"/>
        </w:rPr>
        <w:t>§</w:t>
      </w:r>
      <w:r w:rsidR="00685508">
        <w:rPr>
          <w:rFonts w:eastAsiaTheme="minorEastAsia"/>
          <w:shd w:val="clear" w:color="auto" w:fill="FFFFFF"/>
        </w:rPr>
        <w:t xml:space="preserve">257.101(b)(1)(ii) </w:t>
      </w:r>
      <w:r w:rsidR="00B97AC9">
        <w:rPr>
          <w:rFonts w:eastAsiaTheme="minorEastAsia"/>
          <w:shd w:val="clear" w:color="auto" w:fill="FFFFFF"/>
        </w:rPr>
        <w:t xml:space="preserve">will continue to apply to facilities in Florida </w:t>
      </w:r>
      <w:r w:rsidR="00685508">
        <w:rPr>
          <w:rFonts w:eastAsiaTheme="minorEastAsia"/>
          <w:shd w:val="clear" w:color="auto" w:fill="FFFFFF"/>
        </w:rPr>
        <w:t>and Florida will not be approved for this provision.</w:t>
      </w:r>
      <w:r w:rsidR="1BCCB8B4" w:rsidRPr="52CBBEF8">
        <w:rPr>
          <w:rFonts w:eastAsiaTheme="minorEastAsia"/>
          <w:shd w:val="clear" w:color="auto" w:fill="FFFFFF"/>
        </w:rPr>
        <w:t xml:space="preserve"> </w:t>
      </w:r>
    </w:p>
    <w:p w14:paraId="363D672F" w14:textId="25EDB8CA" w:rsidR="00BD4A54" w:rsidRDefault="00CD0C8C" w:rsidP="007241E8">
      <w:pPr>
        <w:pStyle w:val="paragraph"/>
        <w:numPr>
          <w:ilvl w:val="0"/>
          <w:numId w:val="10"/>
        </w:numPr>
        <w:spacing w:before="0" w:beforeAutospacing="0" w:after="0" w:afterAutospacing="0"/>
        <w:textAlignment w:val="baseline"/>
        <w:rPr>
          <w:rFonts w:eastAsiaTheme="minorEastAsia"/>
          <w:shd w:val="clear" w:color="auto" w:fill="FFFFFF"/>
        </w:rPr>
      </w:pPr>
      <w:r>
        <w:rPr>
          <w:rFonts w:eastAsiaTheme="minorEastAsia"/>
          <w:shd w:val="clear" w:color="auto" w:fill="FFFFFF"/>
        </w:rPr>
        <w:t>In Florida’s Rule 62-701.804(1)(c), Florida states: “Unless another rule is specifically stated to apply, only Rules 62-4, 62-110, 62-701.300, 62-701.804, and 62-701.805</w:t>
      </w:r>
      <w:r w:rsidR="00EF1549">
        <w:rPr>
          <w:rFonts w:eastAsiaTheme="minorEastAsia"/>
          <w:shd w:val="clear" w:color="auto" w:fill="FFFFFF"/>
        </w:rPr>
        <w:t>, F.A.C., are applicable to CCR units.</w:t>
      </w:r>
      <w:r w:rsidR="00676056">
        <w:rPr>
          <w:rFonts w:eastAsiaTheme="minorEastAsia"/>
          <w:shd w:val="clear" w:color="auto" w:fill="FFFFFF"/>
        </w:rPr>
        <w:t>”</w:t>
      </w:r>
      <w:r w:rsidR="00FC3B2A">
        <w:rPr>
          <w:rFonts w:eastAsiaTheme="minorEastAsia"/>
          <w:shd w:val="clear" w:color="auto" w:fill="FFFFFF"/>
        </w:rPr>
        <w:t xml:space="preserve"> </w:t>
      </w:r>
      <w:r w:rsidR="00A24E64">
        <w:rPr>
          <w:rFonts w:eastAsiaTheme="minorEastAsia"/>
          <w:shd w:val="clear" w:color="auto" w:fill="FFFFFF"/>
        </w:rPr>
        <w:t>It is clear that Rules 62-701.80</w:t>
      </w:r>
      <w:r w:rsidR="005E7503">
        <w:rPr>
          <w:rFonts w:eastAsiaTheme="minorEastAsia"/>
          <w:shd w:val="clear" w:color="auto" w:fill="FFFFFF"/>
        </w:rPr>
        <w:t>4</w:t>
      </w:r>
      <w:r w:rsidR="00A24E64">
        <w:rPr>
          <w:rFonts w:eastAsiaTheme="minorEastAsia"/>
          <w:shd w:val="clear" w:color="auto" w:fill="FFFFFF"/>
        </w:rPr>
        <w:t xml:space="preserve"> and 62-</w:t>
      </w:r>
      <w:r w:rsidR="00E73D30">
        <w:rPr>
          <w:rFonts w:eastAsiaTheme="minorEastAsia"/>
          <w:shd w:val="clear" w:color="auto" w:fill="FFFFFF"/>
        </w:rPr>
        <w:t>701.</w:t>
      </w:r>
      <w:r w:rsidR="005E7503">
        <w:rPr>
          <w:rFonts w:eastAsiaTheme="minorEastAsia"/>
          <w:shd w:val="clear" w:color="auto" w:fill="FFFFFF"/>
        </w:rPr>
        <w:t xml:space="preserve">805 are applicable to CCR units. </w:t>
      </w:r>
      <w:r w:rsidR="00724969">
        <w:rPr>
          <w:rFonts w:eastAsiaTheme="minorEastAsia"/>
          <w:shd w:val="clear" w:color="auto" w:fill="FFFFFF"/>
        </w:rPr>
        <w:t>However, it is unclear why Florida has also referenced Rules 62-4, 62-110, and 62.701.300</w:t>
      </w:r>
      <w:r w:rsidR="00CF6247">
        <w:rPr>
          <w:rFonts w:eastAsiaTheme="minorEastAsia"/>
          <w:shd w:val="clear" w:color="auto" w:fill="FFFFFF"/>
        </w:rPr>
        <w:t>.</w:t>
      </w:r>
      <w:r w:rsidR="00724969">
        <w:rPr>
          <w:rFonts w:eastAsiaTheme="minorEastAsia"/>
          <w:shd w:val="clear" w:color="auto" w:fill="FFFFFF"/>
        </w:rPr>
        <w:t xml:space="preserve"> </w:t>
      </w:r>
      <w:r w:rsidR="00AF5DB3">
        <w:rPr>
          <w:rFonts w:eastAsiaTheme="minorEastAsia"/>
          <w:shd w:val="clear" w:color="auto" w:fill="FFFFFF"/>
        </w:rPr>
        <w:t xml:space="preserve">Are these rules (in their entireties) intended to apply to CCR units? </w:t>
      </w:r>
      <w:r w:rsidR="00E204BF">
        <w:rPr>
          <w:rFonts w:eastAsiaTheme="minorEastAsia"/>
          <w:shd w:val="clear" w:color="auto" w:fill="FFFFFF"/>
        </w:rPr>
        <w:t xml:space="preserve">Rule 62-701.805 contains references to </w:t>
      </w:r>
      <w:r w:rsidR="008E0E5F">
        <w:rPr>
          <w:rFonts w:eastAsiaTheme="minorEastAsia"/>
          <w:shd w:val="clear" w:color="auto" w:fill="FFFFFF"/>
        </w:rPr>
        <w:t xml:space="preserve">only </w:t>
      </w:r>
      <w:r w:rsidR="00E204BF">
        <w:rPr>
          <w:rFonts w:eastAsiaTheme="minorEastAsia"/>
          <w:shd w:val="clear" w:color="auto" w:fill="FFFFFF"/>
        </w:rPr>
        <w:t>specific provisions of Rules 62-4</w:t>
      </w:r>
      <w:r w:rsidR="00193AE7">
        <w:rPr>
          <w:rFonts w:eastAsiaTheme="minorEastAsia"/>
          <w:shd w:val="clear" w:color="auto" w:fill="FFFFFF"/>
        </w:rPr>
        <w:t xml:space="preserve"> and</w:t>
      </w:r>
      <w:r w:rsidR="00E204BF">
        <w:rPr>
          <w:rFonts w:eastAsiaTheme="minorEastAsia"/>
          <w:shd w:val="clear" w:color="auto" w:fill="FFFFFF"/>
        </w:rPr>
        <w:t xml:space="preserve"> 62-110</w:t>
      </w:r>
      <w:r w:rsidR="008E0E5F">
        <w:rPr>
          <w:rFonts w:eastAsiaTheme="minorEastAsia"/>
          <w:shd w:val="clear" w:color="auto" w:fill="FFFFFF"/>
        </w:rPr>
        <w:t>, not the entire rules, so it would seem like only the specific cited provisions would apply to CCR units. However,</w:t>
      </w:r>
      <w:r w:rsidR="00BD6904">
        <w:rPr>
          <w:rFonts w:eastAsiaTheme="minorEastAsia"/>
          <w:shd w:val="clear" w:color="auto" w:fill="FFFFFF"/>
        </w:rPr>
        <w:t xml:space="preserve"> a</w:t>
      </w:r>
      <w:r w:rsidR="001D4780">
        <w:rPr>
          <w:rFonts w:eastAsiaTheme="minorEastAsia"/>
          <w:shd w:val="clear" w:color="auto" w:fill="FFFFFF"/>
        </w:rPr>
        <w:t>ll of Rule 62-701.300 is cited in Rule 62-701.805,</w:t>
      </w:r>
      <w:r w:rsidR="008E0E5F">
        <w:rPr>
          <w:rFonts w:eastAsiaTheme="minorEastAsia"/>
          <w:shd w:val="clear" w:color="auto" w:fill="FFFFFF"/>
        </w:rPr>
        <w:t xml:space="preserve"> so presumably all of it applies. </w:t>
      </w:r>
      <w:r w:rsidR="00975B35">
        <w:rPr>
          <w:rFonts w:eastAsiaTheme="minorEastAsia"/>
          <w:shd w:val="clear" w:color="auto" w:fill="FFFFFF"/>
        </w:rPr>
        <w:t>Rule 62-701.320</w:t>
      </w:r>
      <w:r w:rsidR="00B032E9">
        <w:rPr>
          <w:rFonts w:eastAsiaTheme="minorEastAsia"/>
          <w:shd w:val="clear" w:color="auto" w:fill="FFFFFF"/>
        </w:rPr>
        <w:t xml:space="preserve"> is also cited in its entirety in Rule 62-701.805, but it is </w:t>
      </w:r>
      <w:r w:rsidR="00975B35">
        <w:rPr>
          <w:rFonts w:eastAsiaTheme="minorEastAsia"/>
          <w:shd w:val="clear" w:color="auto" w:fill="FFFFFF"/>
        </w:rPr>
        <w:t>not listed in Rule 62-701.804(1)(c) as applying to CCR units. In addition</w:t>
      </w:r>
      <w:r w:rsidR="004B6413">
        <w:rPr>
          <w:rFonts w:eastAsiaTheme="minorEastAsia"/>
          <w:shd w:val="clear" w:color="auto" w:fill="FFFFFF"/>
        </w:rPr>
        <w:t xml:space="preserve">, some of these other Rules are cross-referenced </w:t>
      </w:r>
      <w:r w:rsidR="001501A1">
        <w:rPr>
          <w:rFonts w:eastAsiaTheme="minorEastAsia"/>
          <w:shd w:val="clear" w:color="auto" w:fill="FFFFFF"/>
        </w:rPr>
        <w:t xml:space="preserve">and cited for their public </w:t>
      </w:r>
      <w:r w:rsidR="007241E8">
        <w:rPr>
          <w:rFonts w:eastAsiaTheme="minorEastAsia"/>
          <w:shd w:val="clear" w:color="auto" w:fill="FFFFFF"/>
        </w:rPr>
        <w:t>notice</w:t>
      </w:r>
      <w:r w:rsidR="001501A1">
        <w:rPr>
          <w:rFonts w:eastAsiaTheme="minorEastAsia"/>
          <w:shd w:val="clear" w:color="auto" w:fill="FFFFFF"/>
        </w:rPr>
        <w:t xml:space="preserve"> provisions</w:t>
      </w:r>
      <w:r w:rsidR="00B54101">
        <w:rPr>
          <w:rFonts w:eastAsiaTheme="minorEastAsia"/>
          <w:shd w:val="clear" w:color="auto" w:fill="FFFFFF"/>
        </w:rPr>
        <w:t xml:space="preserve"> in Rule 62-701.805</w:t>
      </w:r>
      <w:r w:rsidR="001501A1">
        <w:rPr>
          <w:rFonts w:eastAsiaTheme="minorEastAsia"/>
          <w:shd w:val="clear" w:color="auto" w:fill="FFFFFF"/>
        </w:rPr>
        <w:t>; however,</w:t>
      </w:r>
      <w:r w:rsidR="004B6413">
        <w:rPr>
          <w:rFonts w:eastAsiaTheme="minorEastAsia"/>
          <w:shd w:val="clear" w:color="auto" w:fill="FFFFFF"/>
        </w:rPr>
        <w:t xml:space="preserve"> </w:t>
      </w:r>
      <w:r w:rsidR="007241E8">
        <w:rPr>
          <w:rFonts w:eastAsiaTheme="minorEastAsia"/>
          <w:shd w:val="clear" w:color="auto" w:fill="FFFFFF"/>
        </w:rPr>
        <w:t>some of the cited rules do not appear to contain any public notice provisions. Further clarification is needed with respect to how FDEP is using its other permitting rules in conjunction with Rule 62-701.805.</w:t>
      </w:r>
    </w:p>
    <w:p w14:paraId="47AC11AD" w14:textId="409A8F57" w:rsidR="000B51D0" w:rsidRPr="000B51D0" w:rsidRDefault="00956FBE" w:rsidP="000B51D0">
      <w:pPr>
        <w:pStyle w:val="paragraph"/>
        <w:numPr>
          <w:ilvl w:val="0"/>
          <w:numId w:val="10"/>
        </w:numPr>
        <w:tabs>
          <w:tab w:val="left" w:pos="720"/>
        </w:tabs>
        <w:spacing w:before="0" w:beforeAutospacing="0" w:after="0" w:afterAutospacing="0"/>
        <w:textAlignment w:val="baseline"/>
        <w:rPr>
          <w:rFonts w:eastAsiaTheme="minorEastAsia"/>
          <w:shd w:val="clear" w:color="auto" w:fill="FFFFFF"/>
        </w:rPr>
      </w:pPr>
      <w:r>
        <w:t xml:space="preserve">Rule 62-701.805(12)(a) regarding fees </w:t>
      </w:r>
      <w:r w:rsidR="00A472F6">
        <w:t>is</w:t>
      </w:r>
      <w:r>
        <w:t xml:space="preserve"> based on a 5-year permit term. Rule 62-701.805(12)(c) contemplates a fee adjustment for a longer permit term. However, 62-701.805(13)(b)3</w:t>
      </w:r>
      <w:r w:rsidR="003D099C">
        <w:t>.</w:t>
      </w:r>
      <w:r>
        <w:t xml:space="preserve"> says that units that meet the requirements of Section 403.707(3)(c)</w:t>
      </w:r>
      <w:r w:rsidR="00A058AA">
        <w:t>, F.S.</w:t>
      </w:r>
      <w:r w:rsidR="001803B5">
        <w:t>,</w:t>
      </w:r>
      <w:r>
        <w:t xml:space="preserve"> shall be issued for a period of 10 years. Note that Section 403.707(3)(c) addresses solid waste management units without a leachate collection system</w:t>
      </w:r>
      <w:r w:rsidR="004119D9">
        <w:t xml:space="preserve"> </w:t>
      </w:r>
      <w:r w:rsidR="00D45DA9">
        <w:t xml:space="preserve">while Section 403.707(3)(b) addresses solid waste management units </w:t>
      </w:r>
      <w:r w:rsidR="00D45DA9">
        <w:rPr>
          <w:i/>
          <w:iCs/>
        </w:rPr>
        <w:t xml:space="preserve">with </w:t>
      </w:r>
      <w:r w:rsidR="00D45DA9">
        <w:t>a leachate collection system (and allows a 20-year permit term)</w:t>
      </w:r>
      <w:r>
        <w:t xml:space="preserve">. </w:t>
      </w:r>
      <w:r w:rsidR="00794422">
        <w:t xml:space="preserve">It appears that 403.707(3)(c) does not apply to CCR units. Please explain the reference to </w:t>
      </w:r>
      <w:r w:rsidR="00697706">
        <w:t xml:space="preserve">Section </w:t>
      </w:r>
      <w:r w:rsidR="00794422">
        <w:t>403.707(3)(c)</w:t>
      </w:r>
      <w:r w:rsidR="00697706">
        <w:t xml:space="preserve"> and how it applies to CCR </w:t>
      </w:r>
      <w:r w:rsidR="00697706">
        <w:lastRenderedPageBreak/>
        <w:t>units</w:t>
      </w:r>
      <w:r w:rsidR="00794422">
        <w:t xml:space="preserve">. </w:t>
      </w:r>
      <w:r w:rsidR="00414361">
        <w:rPr>
          <w:rFonts w:eastAsiaTheme="minorEastAsia"/>
          <w:shd w:val="clear" w:color="auto" w:fill="FFFFFF"/>
        </w:rPr>
        <w:t xml:space="preserve">Please </w:t>
      </w:r>
      <w:r w:rsidR="00697706">
        <w:rPr>
          <w:rFonts w:eastAsiaTheme="minorEastAsia"/>
          <w:shd w:val="clear" w:color="auto" w:fill="FFFFFF"/>
        </w:rPr>
        <w:t xml:space="preserve">also </w:t>
      </w:r>
      <w:r w:rsidR="00414361">
        <w:rPr>
          <w:rFonts w:eastAsiaTheme="minorEastAsia"/>
          <w:shd w:val="clear" w:color="auto" w:fill="FFFFFF"/>
        </w:rPr>
        <w:t>clarify what FDEP’s default permit term will be for CCR units.</w:t>
      </w:r>
      <w:r w:rsidR="00ED4DE0">
        <w:rPr>
          <w:rFonts w:eastAsiaTheme="minorEastAsia"/>
          <w:shd w:val="clear" w:color="auto" w:fill="FFFFFF"/>
        </w:rPr>
        <w:t xml:space="preserve"> The draft Narrative also contains conflicting references to CCR permit terms, citing a 5-year permit term in one location and a 10-year permit term in another.</w:t>
      </w:r>
    </w:p>
    <w:p w14:paraId="0D6AF08A" w14:textId="52EDB086" w:rsidR="00476464" w:rsidRDefault="006A303E" w:rsidP="00F64047">
      <w:pPr>
        <w:pStyle w:val="paragraph"/>
        <w:numPr>
          <w:ilvl w:val="0"/>
          <w:numId w:val="10"/>
        </w:numPr>
        <w:tabs>
          <w:tab w:val="left" w:pos="720"/>
        </w:tabs>
        <w:spacing w:before="0" w:beforeAutospacing="0" w:after="0" w:afterAutospacing="0"/>
        <w:textAlignment w:val="baseline"/>
        <w:rPr>
          <w:rFonts w:eastAsiaTheme="minorEastAsia"/>
          <w:shd w:val="clear" w:color="auto" w:fill="FFFFFF"/>
        </w:rPr>
      </w:pPr>
      <w:r>
        <w:rPr>
          <w:rFonts w:eastAsiaTheme="minorEastAsia"/>
          <w:shd w:val="clear" w:color="auto" w:fill="FFFFFF"/>
        </w:rPr>
        <w:t xml:space="preserve">EPA </w:t>
      </w:r>
      <w:r w:rsidR="00360DFB">
        <w:rPr>
          <w:rFonts w:eastAsiaTheme="minorEastAsia"/>
          <w:shd w:val="clear" w:color="auto" w:fill="FFFFFF"/>
        </w:rPr>
        <w:t xml:space="preserve">noticed that the Narrative references the issuance of a default permit pursuant to </w:t>
      </w:r>
      <w:r w:rsidR="00E41D35">
        <w:rPr>
          <w:rFonts w:eastAsiaTheme="minorEastAsia"/>
          <w:shd w:val="clear" w:color="auto" w:fill="FFFFFF"/>
        </w:rPr>
        <w:t xml:space="preserve">Section </w:t>
      </w:r>
      <w:r w:rsidR="007C4C9F">
        <w:rPr>
          <w:rFonts w:eastAsiaTheme="minorEastAsia"/>
          <w:shd w:val="clear" w:color="auto" w:fill="FFFFFF"/>
        </w:rPr>
        <w:t>120</w:t>
      </w:r>
      <w:r w:rsidR="00EB74AF">
        <w:rPr>
          <w:rFonts w:eastAsiaTheme="minorEastAsia"/>
          <w:shd w:val="clear" w:color="auto" w:fill="FFFFFF"/>
        </w:rPr>
        <w:t>.60(1)</w:t>
      </w:r>
      <w:r w:rsidR="00E41D35">
        <w:rPr>
          <w:rFonts w:eastAsiaTheme="minorEastAsia"/>
          <w:shd w:val="clear" w:color="auto" w:fill="FFFFFF"/>
        </w:rPr>
        <w:t>, F.S</w:t>
      </w:r>
      <w:r w:rsidR="00EB74AF">
        <w:rPr>
          <w:rFonts w:eastAsiaTheme="minorEastAsia"/>
          <w:shd w:val="clear" w:color="auto" w:fill="FFFFFF"/>
        </w:rPr>
        <w:t xml:space="preserve">. </w:t>
      </w:r>
      <w:r w:rsidR="00F77E54">
        <w:rPr>
          <w:rFonts w:eastAsiaTheme="minorEastAsia"/>
          <w:shd w:val="clear" w:color="auto" w:fill="FFFFFF"/>
        </w:rPr>
        <w:t xml:space="preserve">EPA </w:t>
      </w:r>
      <w:r w:rsidR="00BD4DED">
        <w:rPr>
          <w:rFonts w:eastAsiaTheme="minorEastAsia"/>
          <w:shd w:val="clear" w:color="auto" w:fill="FFFFFF"/>
        </w:rPr>
        <w:t xml:space="preserve">is interested </w:t>
      </w:r>
      <w:r w:rsidR="00BE42E6">
        <w:rPr>
          <w:rFonts w:eastAsiaTheme="minorEastAsia"/>
          <w:shd w:val="clear" w:color="auto" w:fill="FFFFFF"/>
        </w:rPr>
        <w:t xml:space="preserve">in </w:t>
      </w:r>
      <w:r w:rsidR="00BD4DED">
        <w:rPr>
          <w:rFonts w:eastAsiaTheme="minorEastAsia"/>
          <w:shd w:val="clear" w:color="auto" w:fill="FFFFFF"/>
        </w:rPr>
        <w:t>learn</w:t>
      </w:r>
      <w:r w:rsidR="00BE42E6">
        <w:rPr>
          <w:rFonts w:eastAsiaTheme="minorEastAsia"/>
          <w:shd w:val="clear" w:color="auto" w:fill="FFFFFF"/>
        </w:rPr>
        <w:t>ing</w:t>
      </w:r>
      <w:r w:rsidR="00BD4DED">
        <w:rPr>
          <w:rFonts w:eastAsiaTheme="minorEastAsia"/>
          <w:shd w:val="clear" w:color="auto" w:fill="FFFFFF"/>
        </w:rPr>
        <w:t xml:space="preserve"> more about how this default permit would work related to CCR permits. </w:t>
      </w:r>
    </w:p>
    <w:p w14:paraId="7B5B2E3D" w14:textId="20E3B263" w:rsidR="000212E2" w:rsidRPr="000212E2" w:rsidRDefault="000212E2" w:rsidP="000212E2">
      <w:pPr>
        <w:pStyle w:val="ListParagraph"/>
        <w:numPr>
          <w:ilvl w:val="0"/>
          <w:numId w:val="10"/>
        </w:numPr>
        <w:rPr>
          <w:rFonts w:ascii="Times New Roman" w:hAnsi="Times New Roman" w:cs="Times New Roman"/>
          <w:sz w:val="28"/>
          <w:szCs w:val="28"/>
        </w:rPr>
      </w:pPr>
      <w:r w:rsidRPr="00C512BB">
        <w:rPr>
          <w:rFonts w:ascii="Times New Roman" w:hAnsi="Times New Roman" w:cs="Times New Roman"/>
          <w:sz w:val="24"/>
          <w:szCs w:val="24"/>
        </w:rPr>
        <w:t>Permits – The regulations do not explicitly require permits for post</w:t>
      </w:r>
      <w:r>
        <w:rPr>
          <w:rFonts w:ascii="Times New Roman" w:hAnsi="Times New Roman" w:cs="Times New Roman"/>
          <w:sz w:val="24"/>
          <w:szCs w:val="24"/>
        </w:rPr>
        <w:t>-</w:t>
      </w:r>
      <w:r w:rsidRPr="00C512BB">
        <w:rPr>
          <w:rFonts w:ascii="Times New Roman" w:hAnsi="Times New Roman" w:cs="Times New Roman"/>
          <w:sz w:val="24"/>
          <w:szCs w:val="24"/>
        </w:rPr>
        <w:t>closure or corrective action</w:t>
      </w:r>
      <w:r>
        <w:rPr>
          <w:rFonts w:ascii="Times New Roman" w:hAnsi="Times New Roman" w:cs="Times New Roman"/>
          <w:sz w:val="24"/>
          <w:szCs w:val="24"/>
        </w:rPr>
        <w:t xml:space="preserve">. </w:t>
      </w:r>
      <w:r w:rsidRPr="009C7F01">
        <w:rPr>
          <w:rFonts w:ascii="Times New Roman" w:hAnsi="Times New Roman" w:cs="Times New Roman"/>
          <w:i/>
          <w:iCs/>
          <w:sz w:val="24"/>
          <w:szCs w:val="24"/>
        </w:rPr>
        <w:t>See</w:t>
      </w:r>
      <w:r w:rsidRPr="00C512BB">
        <w:rPr>
          <w:rFonts w:ascii="Times New Roman" w:hAnsi="Times New Roman" w:cs="Times New Roman"/>
          <w:sz w:val="24"/>
          <w:szCs w:val="24"/>
        </w:rPr>
        <w:t xml:space="preserve"> 62-701.805(11)(a) and (b)(3). </w:t>
      </w:r>
      <w:r w:rsidRPr="000212E2">
        <w:rPr>
          <w:rFonts w:ascii="Times New Roman" w:hAnsi="Times New Roman" w:cs="Times New Roman"/>
          <w:sz w:val="24"/>
          <w:szCs w:val="24"/>
        </w:rPr>
        <w:t xml:space="preserve">EPA recommends that FDEP require a CCR permit for construction, operation, </w:t>
      </w:r>
      <w:r w:rsidRPr="000212E2" w:rsidDel="00536FB7">
        <w:rPr>
          <w:rFonts w:ascii="Times New Roman" w:hAnsi="Times New Roman" w:cs="Times New Roman"/>
          <w:sz w:val="24"/>
          <w:szCs w:val="24"/>
        </w:rPr>
        <w:t>maintenance</w:t>
      </w:r>
      <w:r w:rsidRPr="000212E2">
        <w:rPr>
          <w:rFonts w:ascii="Times New Roman" w:hAnsi="Times New Roman" w:cs="Times New Roman"/>
          <w:sz w:val="24"/>
          <w:szCs w:val="24"/>
        </w:rPr>
        <w:t>, modification, closure, corrective action, and post-closure, or clearly state that all of these permitting actions are included as part of the permit</w:t>
      </w:r>
      <w:r>
        <w:t xml:space="preserve">. </w:t>
      </w:r>
    </w:p>
    <w:p w14:paraId="641A4AB6" w14:textId="77777777" w:rsidR="00E37112" w:rsidRPr="00E37112" w:rsidRDefault="00E37112" w:rsidP="00E37112">
      <w:pPr>
        <w:pStyle w:val="CommentText"/>
        <w:spacing w:after="0"/>
        <w:ind w:left="720"/>
        <w:textAlignment w:val="baseline"/>
        <w:rPr>
          <w:rStyle w:val="normaltextrun"/>
          <w:shd w:val="clear" w:color="auto" w:fill="FFFFFF"/>
        </w:rPr>
      </w:pPr>
    </w:p>
    <w:p w14:paraId="5F6A14CD" w14:textId="4A5D3F06" w:rsidR="00404DAE" w:rsidRPr="00DD71B3" w:rsidRDefault="00DD71B3" w:rsidP="00F6253C">
      <w:pPr>
        <w:pStyle w:val="paragraph"/>
        <w:spacing w:before="0" w:beforeAutospacing="0" w:after="0" w:afterAutospacing="0"/>
        <w:contextualSpacing/>
        <w:textAlignment w:val="baseline"/>
        <w:rPr>
          <w:rFonts w:ascii="Segoe UI" w:hAnsi="Segoe UI" w:cs="Segoe UI"/>
          <w:sz w:val="18"/>
          <w:szCs w:val="18"/>
        </w:rPr>
      </w:pPr>
      <w:r>
        <w:rPr>
          <w:rStyle w:val="normaltextrun"/>
          <w:b/>
          <w:bCs/>
          <w:u w:val="single"/>
          <w:shd w:val="clear" w:color="auto" w:fill="FFFFFF"/>
        </w:rPr>
        <w:t>Public Participation:</w:t>
      </w:r>
    </w:p>
    <w:p w14:paraId="6822419D" w14:textId="40734C11" w:rsidR="00AF36CC" w:rsidRPr="008D308B" w:rsidRDefault="0081772F" w:rsidP="008D308B">
      <w:pPr>
        <w:tabs>
          <w:tab w:val="left" w:pos="270"/>
          <w:tab w:val="left" w:pos="360"/>
          <w:tab w:val="left" w:pos="900"/>
        </w:tabs>
        <w:spacing w:after="0" w:line="260" w:lineRule="atLeast"/>
        <w:rPr>
          <w:rFonts w:ascii="Times New Roman" w:hAnsi="Times New Roman" w:cs="Times New Roman"/>
          <w:sz w:val="24"/>
          <w:szCs w:val="24"/>
        </w:rPr>
      </w:pPr>
      <w:r>
        <w:rPr>
          <w:rFonts w:ascii="Times New Roman" w:hAnsi="Times New Roman" w:cs="Times New Roman"/>
          <w:sz w:val="24"/>
          <w:szCs w:val="24"/>
        </w:rPr>
        <w:t>It appears that Florida’s public participation provisions are, in large part, borrowed from existing regulations</w:t>
      </w:r>
      <w:r w:rsidR="004E0256">
        <w:rPr>
          <w:rFonts w:ascii="Times New Roman" w:hAnsi="Times New Roman" w:cs="Times New Roman"/>
          <w:sz w:val="24"/>
          <w:szCs w:val="24"/>
        </w:rPr>
        <w:t xml:space="preserve">. The draft Narrative provides additional details as to </w:t>
      </w:r>
      <w:r w:rsidR="003841DC">
        <w:rPr>
          <w:rFonts w:ascii="Times New Roman" w:hAnsi="Times New Roman" w:cs="Times New Roman"/>
          <w:sz w:val="24"/>
          <w:szCs w:val="24"/>
        </w:rPr>
        <w:t>public participation, but not all the procedures or regulations cited in the Narrative are actually cited in the CCR permitting regulations</w:t>
      </w:r>
      <w:r w:rsidR="003927CC">
        <w:rPr>
          <w:rFonts w:ascii="Times New Roman" w:hAnsi="Times New Roman" w:cs="Times New Roman"/>
          <w:sz w:val="24"/>
          <w:szCs w:val="24"/>
        </w:rPr>
        <w:t>.</w:t>
      </w:r>
      <w:r w:rsidR="007456D9">
        <w:rPr>
          <w:rFonts w:ascii="Times New Roman" w:hAnsi="Times New Roman" w:cs="Times New Roman"/>
          <w:sz w:val="24"/>
          <w:szCs w:val="24"/>
        </w:rPr>
        <w:t xml:space="preserve"> In addition, </w:t>
      </w:r>
      <w:r w:rsidR="008D308B" w:rsidRPr="008D308B">
        <w:rPr>
          <w:rFonts w:ascii="Times New Roman" w:hAnsi="Times New Roman" w:cs="Times New Roman"/>
          <w:sz w:val="24"/>
          <w:szCs w:val="24"/>
        </w:rPr>
        <w:t xml:space="preserve">EPA has several </w:t>
      </w:r>
      <w:r w:rsidR="007D20B4">
        <w:rPr>
          <w:rFonts w:ascii="Times New Roman" w:hAnsi="Times New Roman" w:cs="Times New Roman"/>
          <w:sz w:val="24"/>
          <w:szCs w:val="24"/>
        </w:rPr>
        <w:t xml:space="preserve">recommendations to enhance </w:t>
      </w:r>
      <w:r w:rsidR="005E725D" w:rsidRPr="008D308B">
        <w:rPr>
          <w:rStyle w:val="eop"/>
          <w:rFonts w:ascii="Times New Roman" w:hAnsi="Times New Roman" w:cs="Times New Roman"/>
          <w:sz w:val="24"/>
          <w:szCs w:val="24"/>
        </w:rPr>
        <w:t>public</w:t>
      </w:r>
      <w:r w:rsidR="00A61887" w:rsidRPr="008D308B">
        <w:rPr>
          <w:rStyle w:val="eop"/>
          <w:rFonts w:ascii="Times New Roman" w:hAnsi="Times New Roman" w:cs="Times New Roman"/>
          <w:sz w:val="24"/>
          <w:szCs w:val="24"/>
        </w:rPr>
        <w:t xml:space="preserve"> participation</w:t>
      </w:r>
      <w:r w:rsidR="001A7B8F" w:rsidRPr="008D308B">
        <w:rPr>
          <w:rStyle w:val="eop"/>
          <w:rFonts w:ascii="Times New Roman" w:hAnsi="Times New Roman" w:cs="Times New Roman"/>
          <w:sz w:val="24"/>
          <w:szCs w:val="24"/>
        </w:rPr>
        <w:t xml:space="preserve"> in </w:t>
      </w:r>
      <w:r w:rsidR="007D20B4">
        <w:rPr>
          <w:rStyle w:val="eop"/>
          <w:rFonts w:ascii="Times New Roman" w:hAnsi="Times New Roman" w:cs="Times New Roman"/>
          <w:sz w:val="24"/>
          <w:szCs w:val="24"/>
        </w:rPr>
        <w:t>FDEP’s</w:t>
      </w:r>
      <w:r w:rsidR="001A7B8F" w:rsidRPr="008D308B">
        <w:rPr>
          <w:rStyle w:val="eop"/>
          <w:rFonts w:ascii="Times New Roman" w:hAnsi="Times New Roman" w:cs="Times New Roman"/>
          <w:sz w:val="24"/>
          <w:szCs w:val="24"/>
        </w:rPr>
        <w:t xml:space="preserve"> CCR permitting</w:t>
      </w:r>
      <w:r w:rsidR="007D20B4">
        <w:rPr>
          <w:rStyle w:val="eop"/>
          <w:rFonts w:ascii="Times New Roman" w:hAnsi="Times New Roman" w:cs="Times New Roman"/>
          <w:sz w:val="24"/>
          <w:szCs w:val="24"/>
        </w:rPr>
        <w:t xml:space="preserve"> process</w:t>
      </w:r>
      <w:r w:rsidR="00FE61CB" w:rsidRPr="008D308B">
        <w:rPr>
          <w:rStyle w:val="eop"/>
          <w:rFonts w:ascii="Times New Roman" w:hAnsi="Times New Roman" w:cs="Times New Roman"/>
          <w:sz w:val="24"/>
          <w:szCs w:val="24"/>
        </w:rPr>
        <w:t>.</w:t>
      </w:r>
      <w:r w:rsidR="00C01632" w:rsidRPr="008D308B">
        <w:rPr>
          <w:rStyle w:val="eop"/>
          <w:rFonts w:ascii="Times New Roman" w:hAnsi="Times New Roman" w:cs="Times New Roman"/>
          <w:sz w:val="24"/>
          <w:szCs w:val="24"/>
        </w:rPr>
        <w:t xml:space="preserve"> </w:t>
      </w:r>
      <w:r w:rsidR="0093494E">
        <w:rPr>
          <w:rStyle w:val="eop"/>
          <w:rFonts w:ascii="Times New Roman" w:hAnsi="Times New Roman" w:cs="Times New Roman"/>
          <w:sz w:val="24"/>
          <w:szCs w:val="24"/>
        </w:rPr>
        <w:t xml:space="preserve">The minimum public participation requirements for State CCR Permit Programs are set forth in the August 2017 EPA Guidance, as well as 40 CFR </w:t>
      </w:r>
      <w:r w:rsidR="00773916">
        <w:rPr>
          <w:rStyle w:val="eop"/>
          <w:rFonts w:ascii="Times New Roman" w:hAnsi="Times New Roman" w:cs="Times New Roman"/>
          <w:sz w:val="24"/>
          <w:szCs w:val="24"/>
        </w:rPr>
        <w:t xml:space="preserve">§ </w:t>
      </w:r>
      <w:r w:rsidR="0093494E">
        <w:rPr>
          <w:rStyle w:val="eop"/>
          <w:rFonts w:ascii="Times New Roman" w:hAnsi="Times New Roman" w:cs="Times New Roman"/>
          <w:sz w:val="24"/>
          <w:szCs w:val="24"/>
        </w:rPr>
        <w:t xml:space="preserve">239.6. </w:t>
      </w:r>
      <w:r w:rsidR="00775A8C">
        <w:rPr>
          <w:rStyle w:val="eop"/>
          <w:rFonts w:ascii="Times New Roman" w:hAnsi="Times New Roman" w:cs="Times New Roman"/>
          <w:sz w:val="24"/>
          <w:szCs w:val="24"/>
        </w:rPr>
        <w:t>For an example of how another state, which recently received EPA approval for its CCR Permit Program</w:t>
      </w:r>
      <w:r w:rsidR="00806153">
        <w:rPr>
          <w:rStyle w:val="eop"/>
          <w:rFonts w:ascii="Times New Roman" w:hAnsi="Times New Roman" w:cs="Times New Roman"/>
          <w:sz w:val="24"/>
          <w:szCs w:val="24"/>
        </w:rPr>
        <w:t>, incorporates public participation into its CCR permitting process, please see the Texas CCR permit program.</w:t>
      </w:r>
      <w:r w:rsidR="002876A3">
        <w:rPr>
          <w:rStyle w:val="eop"/>
          <w:rFonts w:ascii="Times New Roman" w:hAnsi="Times New Roman" w:cs="Times New Roman"/>
          <w:sz w:val="24"/>
          <w:szCs w:val="24"/>
        </w:rPr>
        <w:t xml:space="preserve"> </w:t>
      </w:r>
      <w:hyperlink r:id="rId9" w:history="1">
        <w:r w:rsidR="002876A3" w:rsidRPr="000459BC">
          <w:rPr>
            <w:rStyle w:val="Hyperlink"/>
            <w:rFonts w:ascii="Times New Roman" w:hAnsi="Times New Roman" w:cs="Times New Roman"/>
            <w:sz w:val="24"/>
            <w:szCs w:val="24"/>
          </w:rPr>
          <w:t>U.S. State of Texas Coal Combustion Residuals (CCR) Permit Program | US EPA</w:t>
        </w:r>
      </w:hyperlink>
      <w:r w:rsidR="008D308B" w:rsidRPr="000459BC">
        <w:rPr>
          <w:rStyle w:val="eop"/>
          <w:rFonts w:ascii="Times New Roman" w:hAnsi="Times New Roman" w:cs="Times New Roman"/>
          <w:sz w:val="28"/>
          <w:szCs w:val="28"/>
        </w:rPr>
        <w:t xml:space="preserve"> </w:t>
      </w:r>
    </w:p>
    <w:p w14:paraId="63A31491" w14:textId="77777777" w:rsidR="00896A71" w:rsidRPr="00896A71" w:rsidRDefault="00896A71" w:rsidP="00896A71">
      <w:pPr>
        <w:pStyle w:val="paragraph"/>
        <w:spacing w:before="0" w:beforeAutospacing="0" w:after="0" w:afterAutospacing="0"/>
        <w:ind w:left="720"/>
        <w:contextualSpacing/>
        <w:textAlignment w:val="baseline"/>
        <w:rPr>
          <w:rStyle w:val="normaltextrun"/>
        </w:rPr>
      </w:pPr>
    </w:p>
    <w:p w14:paraId="0BCDFFCE" w14:textId="4C2ADD39" w:rsidR="005072EA" w:rsidRDefault="03093ACC" w:rsidP="00B96F7F">
      <w:pPr>
        <w:pStyle w:val="ListParagraph"/>
        <w:numPr>
          <w:ilvl w:val="0"/>
          <w:numId w:val="37"/>
        </w:numPr>
        <w:tabs>
          <w:tab w:val="left" w:pos="270"/>
          <w:tab w:val="left" w:pos="360"/>
          <w:tab w:val="left" w:pos="900"/>
        </w:tabs>
        <w:spacing w:after="0" w:line="260" w:lineRule="atLeast"/>
        <w:rPr>
          <w:rStyle w:val="normaltextrun"/>
          <w:rFonts w:ascii="Times New Roman" w:hAnsi="Times New Roman" w:cs="Times New Roman"/>
          <w:sz w:val="24"/>
          <w:szCs w:val="24"/>
          <w:shd w:val="clear" w:color="auto" w:fill="FFFFFF"/>
        </w:rPr>
      </w:pPr>
      <w:r w:rsidRPr="00B96F7F">
        <w:rPr>
          <w:rStyle w:val="normaltextrun"/>
          <w:rFonts w:ascii="Times New Roman" w:hAnsi="Times New Roman" w:cs="Times New Roman"/>
          <w:sz w:val="24"/>
          <w:szCs w:val="24"/>
          <w:shd w:val="clear" w:color="auto" w:fill="FFFFFF"/>
        </w:rPr>
        <w:t xml:space="preserve">Public notice </w:t>
      </w:r>
      <w:r w:rsidR="00765D40" w:rsidRPr="00B96F7F">
        <w:rPr>
          <w:rStyle w:val="normaltextrun"/>
          <w:rFonts w:ascii="Times New Roman" w:hAnsi="Times New Roman" w:cs="Times New Roman"/>
          <w:sz w:val="24"/>
          <w:szCs w:val="24"/>
          <w:shd w:val="clear" w:color="auto" w:fill="FFFFFF"/>
        </w:rPr>
        <w:t>–</w:t>
      </w:r>
      <w:r w:rsidR="380CD23C" w:rsidRPr="00B96F7F">
        <w:rPr>
          <w:rStyle w:val="normaltextrun"/>
          <w:rFonts w:ascii="Times New Roman" w:hAnsi="Times New Roman" w:cs="Times New Roman"/>
          <w:sz w:val="24"/>
          <w:szCs w:val="24"/>
          <w:shd w:val="clear" w:color="auto" w:fill="FFFFFF"/>
        </w:rPr>
        <w:t xml:space="preserve"> </w:t>
      </w:r>
    </w:p>
    <w:p w14:paraId="485F706C" w14:textId="03F49F6A" w:rsidR="005C77C6" w:rsidRDefault="00B520B6" w:rsidP="005C77C6">
      <w:pPr>
        <w:pStyle w:val="paragraph"/>
        <w:numPr>
          <w:ilvl w:val="1"/>
          <w:numId w:val="19"/>
        </w:numPr>
        <w:tabs>
          <w:tab w:val="left" w:pos="1530"/>
        </w:tabs>
        <w:spacing w:before="0" w:beforeAutospacing="0" w:after="0" w:afterAutospacing="0"/>
        <w:contextualSpacing/>
        <w:textAlignment w:val="baseline"/>
      </w:pPr>
      <w:r w:rsidRPr="00B96F7F">
        <w:rPr>
          <w:rStyle w:val="normaltextrun"/>
          <w:shd w:val="clear" w:color="auto" w:fill="FFFFFF"/>
        </w:rPr>
        <w:t xml:space="preserve">Rule </w:t>
      </w:r>
      <w:r w:rsidRPr="0022698E">
        <w:t xml:space="preserve">62-701.804(13)(a) specifically requires </w:t>
      </w:r>
      <w:r w:rsidR="00761872" w:rsidRPr="0022698E">
        <w:t>applicants for a permit “to construct or substantially</w:t>
      </w:r>
      <w:r w:rsidR="00FE19EC" w:rsidRPr="0022698E">
        <w:t xml:space="preserve"> modify a CCR unit”</w:t>
      </w:r>
      <w:r w:rsidR="00943760" w:rsidRPr="0022698E">
        <w:t xml:space="preserve"> to</w:t>
      </w:r>
      <w:r w:rsidRPr="0022698E">
        <w:t xml:space="preserve"> publish and provide proof of publication to the Department of a notice of application in a newspaper of general circulation in the area where the facility will be located.</w:t>
      </w:r>
      <w:r w:rsidR="00B524AB">
        <w:t xml:space="preserve"> </w:t>
      </w:r>
      <w:r w:rsidR="00B524AB" w:rsidRPr="007F2A03">
        <w:t xml:space="preserve">It appears that the only explicitly required public notice is for applications to “construct or substantially modify” a CCR unit. </w:t>
      </w:r>
      <w:r w:rsidR="001F2330">
        <w:t xml:space="preserve">Although not cited in Rule 62-701.804(13)(a), </w:t>
      </w:r>
      <w:r w:rsidR="008C7524">
        <w:t xml:space="preserve">Florida’s Narrative </w:t>
      </w:r>
      <w:r w:rsidR="0081772F">
        <w:t xml:space="preserve">also </w:t>
      </w:r>
      <w:r w:rsidR="008C7524">
        <w:t>cites</w:t>
      </w:r>
      <w:r w:rsidR="0032220B">
        <w:t xml:space="preserve"> Rule 62-110.106(</w:t>
      </w:r>
      <w:r w:rsidR="00C2579C">
        <w:t>6)</w:t>
      </w:r>
      <w:r w:rsidR="008C7524">
        <w:t xml:space="preserve"> </w:t>
      </w:r>
      <w:r w:rsidR="007456D9">
        <w:t>for the proposition that additional p</w:t>
      </w:r>
      <w:r w:rsidR="007456D9" w:rsidRPr="002D553A">
        <w:rPr>
          <w:rFonts w:eastAsia="Arial"/>
        </w:rPr>
        <w:t xml:space="preserve">ublication of a notice of application </w:t>
      </w:r>
      <w:r w:rsidR="007456D9">
        <w:rPr>
          <w:rFonts w:eastAsia="Arial"/>
        </w:rPr>
        <w:t>“</w:t>
      </w:r>
      <w:r w:rsidR="007456D9" w:rsidRPr="002D553A">
        <w:rPr>
          <w:rFonts w:eastAsia="Arial"/>
        </w:rPr>
        <w:t>shall be required for those projects that, because of their size, potential effect on the environment or natural resources, controversial nature, or location, are reasonably expected by the Department to result in a heightened public concern or likelihood of request for administr</w:t>
      </w:r>
      <w:r w:rsidR="007456D9">
        <w:rPr>
          <w:rFonts w:eastAsia="Arial"/>
        </w:rPr>
        <w:t xml:space="preserve">ative </w:t>
      </w:r>
      <w:r w:rsidR="00821815">
        <w:rPr>
          <w:rFonts w:eastAsia="Arial"/>
        </w:rPr>
        <w:t>proceedings</w:t>
      </w:r>
      <w:r w:rsidR="007456D9">
        <w:rPr>
          <w:rFonts w:eastAsia="Arial"/>
        </w:rPr>
        <w:t xml:space="preserve">.” </w:t>
      </w:r>
      <w:r w:rsidR="00821815">
        <w:rPr>
          <w:rFonts w:eastAsia="Arial"/>
        </w:rPr>
        <w:t>Thus, it is unclear when</w:t>
      </w:r>
      <w:r w:rsidR="005D315C">
        <w:rPr>
          <w:rFonts w:eastAsia="Arial"/>
        </w:rPr>
        <w:t xml:space="preserve">, other than </w:t>
      </w:r>
      <w:r w:rsidR="00AC6203">
        <w:rPr>
          <w:rFonts w:eastAsia="Arial"/>
        </w:rPr>
        <w:t xml:space="preserve">a construction permit for a new unit or substantial modification, </w:t>
      </w:r>
      <w:r w:rsidR="00000B42">
        <w:rPr>
          <w:rFonts w:eastAsia="Arial"/>
        </w:rPr>
        <w:t xml:space="preserve">public notice of a permit application is triggered (i.e., </w:t>
      </w:r>
      <w:r w:rsidR="007C5FB7">
        <w:t xml:space="preserve">other </w:t>
      </w:r>
      <w:r w:rsidR="00BE70E4">
        <w:t xml:space="preserve">permitting </w:t>
      </w:r>
      <w:r w:rsidR="007C5FB7">
        <w:t>actions</w:t>
      </w:r>
      <w:r w:rsidR="00BE70E4">
        <w:t xml:space="preserve">, such as </w:t>
      </w:r>
      <w:r w:rsidR="00164A1C">
        <w:t xml:space="preserve">initial permits for </w:t>
      </w:r>
      <w:r w:rsidR="00EC6BA4">
        <w:t xml:space="preserve">an </w:t>
      </w:r>
      <w:r w:rsidR="00164A1C">
        <w:t xml:space="preserve">existing CCR </w:t>
      </w:r>
      <w:r w:rsidR="00EC6BA4">
        <w:t>unit</w:t>
      </w:r>
      <w:r w:rsidR="00164A1C" w:rsidDel="00C9300E">
        <w:t>,</w:t>
      </w:r>
      <w:r w:rsidR="00164A1C">
        <w:t xml:space="preserve"> </w:t>
      </w:r>
      <w:r w:rsidR="006B5BE9">
        <w:t xml:space="preserve">permit </w:t>
      </w:r>
      <w:r w:rsidR="00164A1C">
        <w:t>renewals</w:t>
      </w:r>
      <w:r w:rsidR="00294DD7">
        <w:t>, or other modifications</w:t>
      </w:r>
      <w:r w:rsidR="00EC6BA4">
        <w:t>).</w:t>
      </w:r>
      <w:r w:rsidR="0022698E">
        <w:t xml:space="preserve"> </w:t>
      </w:r>
    </w:p>
    <w:p w14:paraId="5AE80874" w14:textId="223A0371" w:rsidR="005C77C6" w:rsidRDefault="00B524AB" w:rsidP="005C77C6">
      <w:pPr>
        <w:pStyle w:val="paragraph"/>
        <w:numPr>
          <w:ilvl w:val="1"/>
          <w:numId w:val="19"/>
        </w:numPr>
        <w:tabs>
          <w:tab w:val="left" w:pos="1530"/>
        </w:tabs>
        <w:spacing w:before="0" w:beforeAutospacing="0" w:after="0" w:afterAutospacing="0"/>
        <w:contextualSpacing/>
        <w:textAlignment w:val="baseline"/>
      </w:pPr>
      <w:r w:rsidRPr="005C77C6">
        <w:t>Rule 62-701.804(13)(a) appears to only require public notice</w:t>
      </w:r>
      <w:r w:rsidR="007A5244">
        <w:t xml:space="preserve"> of the application</w:t>
      </w:r>
      <w:r w:rsidRPr="005C77C6">
        <w:t xml:space="preserve"> to be given 14 days </w:t>
      </w:r>
      <w:r w:rsidR="007A5244">
        <w:t>after the application is submitted</w:t>
      </w:r>
      <w:r w:rsidR="00BF0EA7">
        <w:t xml:space="preserve">. </w:t>
      </w:r>
      <w:r w:rsidR="00B67CA0">
        <w:t xml:space="preserve">Does Florida contemplate public </w:t>
      </w:r>
      <w:r w:rsidR="007D400A">
        <w:t>comment</w:t>
      </w:r>
      <w:r w:rsidR="00E90113">
        <w:t xml:space="preserve"> on the application itself after publication? </w:t>
      </w:r>
      <w:r w:rsidR="0070750B">
        <w:t>If so, how are comments submitted, reviewed</w:t>
      </w:r>
      <w:r w:rsidR="00F66332">
        <w:t>,</w:t>
      </w:r>
      <w:r w:rsidR="0070750B">
        <w:t xml:space="preserve"> and responded to?</w:t>
      </w:r>
    </w:p>
    <w:p w14:paraId="401ED425" w14:textId="7490450A" w:rsidR="005C77C6" w:rsidRDefault="00A002D7" w:rsidP="005C77C6">
      <w:pPr>
        <w:pStyle w:val="paragraph"/>
        <w:numPr>
          <w:ilvl w:val="1"/>
          <w:numId w:val="19"/>
        </w:numPr>
        <w:tabs>
          <w:tab w:val="left" w:pos="1530"/>
        </w:tabs>
        <w:spacing w:before="0" w:beforeAutospacing="0" w:after="0" w:afterAutospacing="0"/>
        <w:contextualSpacing/>
        <w:textAlignment w:val="baseline"/>
      </w:pPr>
      <w:r w:rsidRPr="005C77C6">
        <w:t xml:space="preserve"> </w:t>
      </w:r>
      <w:r w:rsidR="00230AB5" w:rsidRPr="005C77C6">
        <w:t xml:space="preserve">Rule </w:t>
      </w:r>
      <w:r w:rsidR="00B50F8F" w:rsidRPr="005C77C6">
        <w:t xml:space="preserve">62-701.804(13)(b)2. </w:t>
      </w:r>
      <w:r w:rsidR="0007771B" w:rsidRPr="005C77C6">
        <w:t>s</w:t>
      </w:r>
      <w:r w:rsidR="00230AB5" w:rsidRPr="005C77C6">
        <w:t>ays that</w:t>
      </w:r>
      <w:r w:rsidR="00B50F8F" w:rsidRPr="005C77C6">
        <w:t xml:space="preserve"> </w:t>
      </w:r>
      <w:r w:rsidR="00F63515" w:rsidRPr="005C77C6">
        <w:t>t</w:t>
      </w:r>
      <w:r w:rsidR="00B50F8F" w:rsidRPr="005C77C6">
        <w:t xml:space="preserve">he public notice requirements for CCR permits issued by the Department are specified in </w:t>
      </w:r>
      <w:r w:rsidR="00D710E5">
        <w:t>S</w:t>
      </w:r>
      <w:r w:rsidR="00B50F8F" w:rsidRPr="005C77C6">
        <w:t xml:space="preserve">ection 403.815, F.S., </w:t>
      </w:r>
      <w:r w:rsidR="00D710E5">
        <w:t>S</w:t>
      </w:r>
      <w:r w:rsidR="00B50F8F" w:rsidRPr="005C77C6">
        <w:t xml:space="preserve">ection 403.707, F.S., Rule 62-110.106,  and Rule 62-701.320,  </w:t>
      </w:r>
      <w:r w:rsidR="000219D1" w:rsidRPr="005C77C6">
        <w:t xml:space="preserve">but it is unclear </w:t>
      </w:r>
      <w:r w:rsidR="006A7295" w:rsidRPr="005C77C6">
        <w:t xml:space="preserve">what portions of these </w:t>
      </w:r>
      <w:r w:rsidR="00BB6CEE">
        <w:t>rules pertain to public notice requirements and</w:t>
      </w:r>
      <w:r w:rsidR="006A7295" w:rsidRPr="005C77C6">
        <w:t xml:space="preserve"> are applicable</w:t>
      </w:r>
      <w:r w:rsidR="008D308B" w:rsidRPr="005C77C6">
        <w:t xml:space="preserve"> to CCR units</w:t>
      </w:r>
      <w:r w:rsidR="00BB6CEE">
        <w:t>.</w:t>
      </w:r>
      <w:r w:rsidR="00F175F1">
        <w:t xml:space="preserve"> Additional detail is provided in the Narrative</w:t>
      </w:r>
      <w:r w:rsidR="00217A38">
        <w:t xml:space="preserve">, </w:t>
      </w:r>
      <w:r w:rsidR="00C91711">
        <w:t>along with a citation to F.S. 120.60.</w:t>
      </w:r>
      <w:r w:rsidR="00BB6CEE">
        <w:t xml:space="preserve"> </w:t>
      </w:r>
      <w:r w:rsidR="00AA487E">
        <w:t>Based on the Narrative,</w:t>
      </w:r>
      <w:r w:rsidR="00A1603E">
        <w:t xml:space="preserve"> </w:t>
      </w:r>
      <w:r w:rsidR="00764B08">
        <w:t xml:space="preserve">it appears that </w:t>
      </w:r>
      <w:r w:rsidR="00C1564D">
        <w:t xml:space="preserve">notices of intent to issue </w:t>
      </w:r>
      <w:r w:rsidR="00C72992">
        <w:t xml:space="preserve">are </w:t>
      </w:r>
      <w:r w:rsidR="00180CA5">
        <w:t xml:space="preserve">required to be </w:t>
      </w:r>
      <w:r w:rsidR="00E17D4C">
        <w:t>public noticed</w:t>
      </w:r>
      <w:r w:rsidR="003D2505">
        <w:t xml:space="preserve"> </w:t>
      </w:r>
      <w:r w:rsidR="00F06F52">
        <w:t xml:space="preserve">for </w:t>
      </w:r>
      <w:r w:rsidR="003D2505">
        <w:t xml:space="preserve">permits for construction or </w:t>
      </w:r>
      <w:r w:rsidR="00C72992">
        <w:t>expansions</w:t>
      </w:r>
      <w:r w:rsidR="003D2505">
        <w:t xml:space="preserve"> of solid waste management facilities, as well as</w:t>
      </w:r>
      <w:r w:rsidR="00C72992">
        <w:t xml:space="preserve"> other projects “reasonably expected to </w:t>
      </w:r>
      <w:r w:rsidR="00714E82">
        <w:t>result in a heighted public concern</w:t>
      </w:r>
      <w:r w:rsidR="003D2505">
        <w:t>.</w:t>
      </w:r>
      <w:r w:rsidR="00714E82">
        <w:t>”</w:t>
      </w:r>
      <w:r w:rsidR="007537B2">
        <w:t xml:space="preserve"> </w:t>
      </w:r>
      <w:r w:rsidR="00C21BC2">
        <w:t xml:space="preserve"> </w:t>
      </w:r>
      <w:r w:rsidR="002B6FF7">
        <w:t>Clarification is needed as to when FDEP requires public notice, what type of public notice is being required, and where each requirement is specified in Florida’s regulations and/or statues</w:t>
      </w:r>
      <w:r w:rsidR="00DB590A">
        <w:t xml:space="preserve">. </w:t>
      </w:r>
    </w:p>
    <w:p w14:paraId="530D9742" w14:textId="579E8B93" w:rsidR="005C77C6" w:rsidRDefault="006A39FD" w:rsidP="005C77C6">
      <w:pPr>
        <w:pStyle w:val="paragraph"/>
        <w:numPr>
          <w:ilvl w:val="1"/>
          <w:numId w:val="19"/>
        </w:numPr>
        <w:tabs>
          <w:tab w:val="left" w:pos="1530"/>
        </w:tabs>
        <w:spacing w:before="0" w:beforeAutospacing="0" w:after="0" w:afterAutospacing="0"/>
        <w:contextualSpacing/>
        <w:textAlignment w:val="baseline"/>
      </w:pPr>
      <w:r w:rsidRPr="007F2A03">
        <w:t>For the public notice that is specified</w:t>
      </w:r>
      <w:r w:rsidR="00925C73">
        <w:t xml:space="preserve"> (for applications and for notices of intent to issue)</w:t>
      </w:r>
      <w:r w:rsidRPr="007F2A03">
        <w:t xml:space="preserve">, </w:t>
      </w:r>
      <w:r w:rsidR="380CD23C" w:rsidRPr="007F2A03">
        <w:t xml:space="preserve">FDEP </w:t>
      </w:r>
      <w:r w:rsidR="00C968D5" w:rsidRPr="007F2A03">
        <w:t>regulations appear to only require</w:t>
      </w:r>
      <w:r w:rsidR="380CD23C" w:rsidRPr="007F2A03">
        <w:t xml:space="preserve"> public notice </w:t>
      </w:r>
      <w:r w:rsidR="339EFC22" w:rsidRPr="007F2A03">
        <w:t>in a newspaper</w:t>
      </w:r>
      <w:r w:rsidR="00631CF3">
        <w:t xml:space="preserve"> </w:t>
      </w:r>
    </w:p>
    <w:p w14:paraId="6C44C3ED" w14:textId="01E892B2" w:rsidR="00B61BAC" w:rsidRPr="005C77C6" w:rsidRDefault="00014016" w:rsidP="005C77C6">
      <w:pPr>
        <w:pStyle w:val="paragraph"/>
        <w:numPr>
          <w:ilvl w:val="1"/>
          <w:numId w:val="19"/>
        </w:numPr>
        <w:tabs>
          <w:tab w:val="left" w:pos="1530"/>
        </w:tabs>
        <w:spacing w:before="0" w:beforeAutospacing="0" w:after="0" w:afterAutospacing="0"/>
        <w:contextualSpacing/>
        <w:textAlignment w:val="baseline"/>
      </w:pPr>
      <w:r w:rsidRPr="007F2A03">
        <w:t xml:space="preserve">There seem to be no references in the CCR rules or the cross-referenced rules to </w:t>
      </w:r>
      <w:r w:rsidR="00EC1DC1" w:rsidRPr="007F2A03">
        <w:t xml:space="preserve">use of a mailing list for dissemination of information regarding </w:t>
      </w:r>
      <w:r w:rsidR="006473AD" w:rsidRPr="007F2A03">
        <w:t>permits</w:t>
      </w:r>
      <w:r w:rsidR="00B6705A">
        <w:t xml:space="preserve">. </w:t>
      </w:r>
      <w:r w:rsidR="00FA01A1">
        <w:t>The</w:t>
      </w:r>
      <w:r w:rsidR="00877336">
        <w:t xml:space="preserve"> Narrative </w:t>
      </w:r>
      <w:r w:rsidR="00FA01A1">
        <w:t>references</w:t>
      </w:r>
      <w:r w:rsidR="00877336">
        <w:t xml:space="preserve"> </w:t>
      </w:r>
      <w:r w:rsidR="0010757C">
        <w:t xml:space="preserve">that </w:t>
      </w:r>
      <w:r w:rsidR="00123AF0">
        <w:t xml:space="preserve">FDEP </w:t>
      </w:r>
      <w:r w:rsidR="00096525">
        <w:t xml:space="preserve">maintains a spreadsheet of anyone that requests </w:t>
      </w:r>
      <w:r w:rsidR="00631CF3">
        <w:t xml:space="preserve">notice </w:t>
      </w:r>
      <w:r w:rsidR="00096525">
        <w:t xml:space="preserve">of </w:t>
      </w:r>
      <w:r w:rsidR="00FB0EB7">
        <w:t>a</w:t>
      </w:r>
      <w:r w:rsidR="00096525">
        <w:t>gency</w:t>
      </w:r>
      <w:r w:rsidR="00631CF3">
        <w:t xml:space="preserve"> action</w:t>
      </w:r>
      <w:r w:rsidR="00096525">
        <w:t xml:space="preserve"> on an application.</w:t>
      </w:r>
      <w:r w:rsidR="00B87797">
        <w:t xml:space="preserve"> It is unclear how FDEP compiles this list of persons and how people can request to receive notice</w:t>
      </w:r>
      <w:r w:rsidR="00FB0EB7">
        <w:t xml:space="preserve"> of such agency actions.</w:t>
      </w:r>
      <w:r w:rsidR="00B6705A">
        <w:t xml:space="preserve"> </w:t>
      </w:r>
    </w:p>
    <w:p w14:paraId="29945690" w14:textId="77777777" w:rsidR="00655C1B" w:rsidRPr="00CF4B03" w:rsidRDefault="00655C1B" w:rsidP="00655C1B">
      <w:pPr>
        <w:pStyle w:val="paragraph"/>
        <w:spacing w:before="0" w:beforeAutospacing="0" w:after="0" w:afterAutospacing="0"/>
        <w:ind w:left="1440"/>
        <w:contextualSpacing/>
        <w:textAlignment w:val="baseline"/>
        <w:rPr>
          <w:rStyle w:val="normaltextrun"/>
        </w:rPr>
      </w:pPr>
    </w:p>
    <w:p w14:paraId="785CBC9F" w14:textId="4C496171" w:rsidR="00A1455C" w:rsidRPr="00314935" w:rsidRDefault="00E107F9" w:rsidP="00314935">
      <w:pPr>
        <w:pStyle w:val="paragraph"/>
        <w:spacing w:before="0" w:beforeAutospacing="0" w:after="0" w:afterAutospacing="0"/>
        <w:ind w:left="720"/>
        <w:contextualSpacing/>
        <w:textAlignment w:val="baseline"/>
        <w:rPr>
          <w:rStyle w:val="text"/>
          <w:rFonts w:eastAsiaTheme="minorEastAsia"/>
        </w:rPr>
      </w:pPr>
      <w:r>
        <w:t>EPA suggestions:</w:t>
      </w:r>
    </w:p>
    <w:p w14:paraId="5B3569F6" w14:textId="243E8C35" w:rsidR="006D54E7" w:rsidRDefault="008C221B" w:rsidP="006D2329">
      <w:pPr>
        <w:pStyle w:val="paragraph"/>
        <w:numPr>
          <w:ilvl w:val="0"/>
          <w:numId w:val="38"/>
        </w:numPr>
        <w:tabs>
          <w:tab w:val="left" w:pos="1530"/>
        </w:tabs>
        <w:spacing w:before="0" w:beforeAutospacing="0" w:after="0" w:afterAutospacing="0"/>
        <w:contextualSpacing/>
        <w:textAlignment w:val="baseline"/>
      </w:pPr>
      <w:r w:rsidRPr="00B96F7F">
        <w:rPr>
          <w:rStyle w:val="normaltextrun"/>
          <w:shd w:val="clear" w:color="auto" w:fill="FFFFFF"/>
        </w:rPr>
        <w:t>Clarification is needed as to when public notice is required with respect to CCR unit permits.</w:t>
      </w:r>
      <w:r>
        <w:rPr>
          <w:rStyle w:val="normaltextrun"/>
          <w:shd w:val="clear" w:color="auto" w:fill="FFFFFF"/>
        </w:rPr>
        <w:t xml:space="preserve"> </w:t>
      </w:r>
      <w:r w:rsidR="00640754">
        <w:rPr>
          <w:rStyle w:val="normaltextrun"/>
          <w:shd w:val="clear" w:color="auto" w:fill="FFFFFF"/>
        </w:rPr>
        <w:t xml:space="preserve">EPA recommends that Florida’s regulations </w:t>
      </w:r>
      <w:r w:rsidR="00196950">
        <w:rPr>
          <w:rStyle w:val="normaltextrun"/>
          <w:shd w:val="clear" w:color="auto" w:fill="FFFFFF"/>
        </w:rPr>
        <w:t xml:space="preserve">provide public notice for </w:t>
      </w:r>
      <w:r w:rsidR="006D54E7">
        <w:t xml:space="preserve">initial permits for new and existing CCR units, </w:t>
      </w:r>
      <w:r w:rsidR="0011326E">
        <w:t xml:space="preserve">as well as </w:t>
      </w:r>
      <w:r w:rsidR="006D54E7">
        <w:t>renewals,</w:t>
      </w:r>
      <w:r w:rsidR="0011326E">
        <w:t xml:space="preserve"> and </w:t>
      </w:r>
      <w:r w:rsidR="00C26F12">
        <w:t xml:space="preserve">other types of </w:t>
      </w:r>
      <w:r w:rsidR="0011326E">
        <w:t>modifications</w:t>
      </w:r>
      <w:r w:rsidR="00C26F12">
        <w:t xml:space="preserve"> </w:t>
      </w:r>
      <w:r w:rsidR="003339F6">
        <w:t xml:space="preserve">as </w:t>
      </w:r>
      <w:r w:rsidR="00C26F12">
        <w:t>discussed below.</w:t>
      </w:r>
      <w:r w:rsidR="005020FA">
        <w:t xml:space="preserve"> </w:t>
      </w:r>
    </w:p>
    <w:p w14:paraId="6DAA4942" w14:textId="2C834C63" w:rsidR="007C51BE" w:rsidRDefault="00B5417E" w:rsidP="006D2329">
      <w:pPr>
        <w:pStyle w:val="paragraph"/>
        <w:numPr>
          <w:ilvl w:val="0"/>
          <w:numId w:val="38"/>
        </w:numPr>
        <w:tabs>
          <w:tab w:val="left" w:pos="1530"/>
        </w:tabs>
        <w:spacing w:before="0" w:beforeAutospacing="0" w:after="0" w:afterAutospacing="0"/>
        <w:contextualSpacing/>
        <w:textAlignment w:val="baseline"/>
      </w:pPr>
      <w:r>
        <w:t xml:space="preserve">EPA recommends that FDEP evaluate the </w:t>
      </w:r>
      <w:r w:rsidR="00531111">
        <w:t>14-day</w:t>
      </w:r>
      <w:r w:rsidR="00E8280A">
        <w:t xml:space="preserve"> </w:t>
      </w:r>
      <w:r w:rsidR="00D2081C">
        <w:t xml:space="preserve">time period </w:t>
      </w:r>
      <w:r w:rsidR="00A95AA8">
        <w:t xml:space="preserve">between notice </w:t>
      </w:r>
      <w:r w:rsidR="00554C82">
        <w:t xml:space="preserve">of intent to issue </w:t>
      </w:r>
      <w:r w:rsidR="00E031A4">
        <w:t xml:space="preserve">and the </w:t>
      </w:r>
      <w:r w:rsidR="00A21A53">
        <w:t xml:space="preserve">permit becoming effective. This may not be enough time </w:t>
      </w:r>
      <w:r w:rsidR="00531111">
        <w:t>to receive, consider, and respond to public comments</w:t>
      </w:r>
      <w:r w:rsidR="009D4CBC">
        <w:t>, as discussed below</w:t>
      </w:r>
      <w:r w:rsidR="00531111">
        <w:t>.</w:t>
      </w:r>
      <w:r w:rsidR="00346C61">
        <w:t xml:space="preserve"> </w:t>
      </w:r>
    </w:p>
    <w:p w14:paraId="78EB1ADB" w14:textId="58ABD72B" w:rsidR="005C77C6" w:rsidRDefault="000E50E6" w:rsidP="005C77C6">
      <w:pPr>
        <w:pStyle w:val="paragraph"/>
        <w:numPr>
          <w:ilvl w:val="0"/>
          <w:numId w:val="38"/>
        </w:numPr>
        <w:tabs>
          <w:tab w:val="left" w:pos="1530"/>
        </w:tabs>
        <w:spacing w:before="0" w:beforeAutospacing="0" w:after="0" w:afterAutospacing="0"/>
        <w:contextualSpacing/>
        <w:textAlignment w:val="baseline"/>
        <w:rPr>
          <w:rFonts w:eastAsiaTheme="minorEastAsia"/>
        </w:rPr>
      </w:pPr>
      <w:r>
        <w:t xml:space="preserve">Consider </w:t>
      </w:r>
      <w:r w:rsidR="000323C7">
        <w:t>requiring</w:t>
      </w:r>
      <w:r>
        <w:t xml:space="preserve"> </w:t>
      </w:r>
      <w:r w:rsidR="004C6D05">
        <w:t>that</w:t>
      </w:r>
      <w:r>
        <w:t xml:space="preserve"> public notice be posted on the FDEP website</w:t>
      </w:r>
      <w:r w:rsidR="00026749">
        <w:t xml:space="preserve">, </w:t>
      </w:r>
      <w:r w:rsidR="007D758B">
        <w:t xml:space="preserve">as well as </w:t>
      </w:r>
      <w:r w:rsidR="00026749">
        <w:t>the applicant</w:t>
      </w:r>
      <w:r w:rsidR="007D758B">
        <w:t>’</w:t>
      </w:r>
      <w:r w:rsidR="00026749">
        <w:t>s publicly accessible internet site</w:t>
      </w:r>
      <w:r>
        <w:t>. Digital notice is more likely to ensure that the public is aware of permitting decisions and may increase the public’s opportunity to review permit applications, supporting documents, and draft permits. Additionally, digital notice may increase the opportunity for public participation in the public comment</w:t>
      </w:r>
      <w:r w:rsidR="005C77C6">
        <w:t xml:space="preserve"> </w:t>
      </w:r>
      <w:r>
        <w:t xml:space="preserve">process. </w:t>
      </w:r>
    </w:p>
    <w:p w14:paraId="2E94C700" w14:textId="5508ED9A" w:rsidR="005C77C6" w:rsidRDefault="000B5C5B" w:rsidP="005C77C6">
      <w:pPr>
        <w:pStyle w:val="paragraph"/>
        <w:numPr>
          <w:ilvl w:val="0"/>
          <w:numId w:val="38"/>
        </w:numPr>
        <w:tabs>
          <w:tab w:val="left" w:pos="1530"/>
        </w:tabs>
        <w:spacing w:before="0" w:beforeAutospacing="0" w:after="0" w:afterAutospacing="0"/>
        <w:contextualSpacing/>
        <w:textAlignment w:val="baseline"/>
        <w:rPr>
          <w:rFonts w:eastAsiaTheme="minorEastAsia"/>
        </w:rPr>
      </w:pPr>
      <w:r>
        <w:t>Consider creat</w:t>
      </w:r>
      <w:r w:rsidR="001B5A96">
        <w:t>ing</w:t>
      </w:r>
      <w:r>
        <w:t xml:space="preserve"> a </w:t>
      </w:r>
      <w:r w:rsidR="45F84232">
        <w:t xml:space="preserve">mailing list </w:t>
      </w:r>
      <w:r w:rsidR="00CA7074">
        <w:t>specific to CCR actions</w:t>
      </w:r>
      <w:r w:rsidR="00420DFD">
        <w:t xml:space="preserve"> </w:t>
      </w:r>
      <w:r w:rsidR="00DE60B8">
        <w:t xml:space="preserve">(both email and USPS) </w:t>
      </w:r>
      <w:r w:rsidR="45F84232">
        <w:t xml:space="preserve">of interested persons or </w:t>
      </w:r>
      <w:r w:rsidR="00AF21E3">
        <w:t>organizations and</w:t>
      </w:r>
      <w:r w:rsidR="00DE60B8">
        <w:t xml:space="preserve"> provide instructions in the regulation for how individuals can be added to the list.</w:t>
      </w:r>
      <w:r w:rsidR="00FB65F9">
        <w:t xml:space="preserve"> </w:t>
      </w:r>
    </w:p>
    <w:p w14:paraId="031756BF" w14:textId="733AB73E" w:rsidR="00CE6F60" w:rsidRPr="005C77C6" w:rsidRDefault="00CE6F60" w:rsidP="005C77C6">
      <w:pPr>
        <w:pStyle w:val="paragraph"/>
        <w:numPr>
          <w:ilvl w:val="0"/>
          <w:numId w:val="38"/>
        </w:numPr>
        <w:tabs>
          <w:tab w:val="left" w:pos="1530"/>
        </w:tabs>
        <w:spacing w:before="0" w:beforeAutospacing="0" w:after="0" w:afterAutospacing="0"/>
        <w:contextualSpacing/>
        <w:textAlignment w:val="baseline"/>
        <w:rPr>
          <w:rFonts w:eastAsiaTheme="minorEastAsia"/>
        </w:rPr>
      </w:pPr>
      <w:r>
        <w:t xml:space="preserve">Consider providing the opportunity for translation </w:t>
      </w:r>
      <w:r w:rsidR="005C610F">
        <w:t>services</w:t>
      </w:r>
      <w:r>
        <w:t xml:space="preserve"> for interested persons and/or translat</w:t>
      </w:r>
      <w:r w:rsidR="00CD744A">
        <w:t>ion</w:t>
      </w:r>
      <w:r>
        <w:t xml:space="preserve"> of </w:t>
      </w:r>
      <w:r w:rsidR="00CD744A">
        <w:t xml:space="preserve">public </w:t>
      </w:r>
      <w:r>
        <w:t>notice</w:t>
      </w:r>
      <w:r w:rsidR="00CD744A">
        <w:t>s</w:t>
      </w:r>
      <w:r>
        <w:t xml:space="preserve">. </w:t>
      </w:r>
    </w:p>
    <w:p w14:paraId="6D1FA179" w14:textId="77777777" w:rsidR="00C512BB" w:rsidRPr="007A2997" w:rsidRDefault="00C512BB" w:rsidP="00C512BB">
      <w:pPr>
        <w:pStyle w:val="paragraph"/>
        <w:spacing w:before="0" w:beforeAutospacing="0" w:after="0" w:afterAutospacing="0"/>
        <w:ind w:left="1440"/>
        <w:contextualSpacing/>
        <w:textAlignment w:val="baseline"/>
        <w:rPr>
          <w:rStyle w:val="normaltextrun"/>
          <w:rFonts w:asciiTheme="minorHAnsi" w:eastAsiaTheme="minorEastAsia" w:hAnsiTheme="minorHAnsi" w:cstheme="minorBidi"/>
        </w:rPr>
      </w:pPr>
    </w:p>
    <w:p w14:paraId="11AB4A1B" w14:textId="08EE4248" w:rsidR="00564E2D" w:rsidRDefault="096FD130" w:rsidP="00CD3AB2">
      <w:pPr>
        <w:pStyle w:val="paragraph"/>
        <w:numPr>
          <w:ilvl w:val="0"/>
          <w:numId w:val="19"/>
        </w:numPr>
        <w:spacing w:before="0" w:beforeAutospacing="0" w:after="0" w:afterAutospacing="0"/>
        <w:textAlignment w:val="baseline"/>
        <w:rPr>
          <w:rStyle w:val="normaltextrun"/>
          <w:shd w:val="clear" w:color="auto" w:fill="FFFFFF"/>
        </w:rPr>
      </w:pPr>
      <w:r>
        <w:rPr>
          <w:rStyle w:val="normaltextrun"/>
          <w:shd w:val="clear" w:color="auto" w:fill="FFFFFF"/>
        </w:rPr>
        <w:t xml:space="preserve">Public Comment </w:t>
      </w:r>
      <w:r w:rsidR="00C512BB">
        <w:rPr>
          <w:rStyle w:val="normaltextrun"/>
          <w:shd w:val="clear" w:color="auto" w:fill="FFFFFF"/>
        </w:rPr>
        <w:t>–</w:t>
      </w:r>
      <w:r w:rsidR="006A4F6B">
        <w:rPr>
          <w:rStyle w:val="normaltextrun"/>
          <w:shd w:val="clear" w:color="auto" w:fill="FFFFFF"/>
        </w:rPr>
        <w:t xml:space="preserve"> </w:t>
      </w:r>
      <w:r w:rsidR="00614282">
        <w:rPr>
          <w:rStyle w:val="normaltextrun"/>
          <w:shd w:val="clear" w:color="auto" w:fill="FFFFFF"/>
        </w:rPr>
        <w:t xml:space="preserve">EPA </w:t>
      </w:r>
      <w:r w:rsidR="00E95EA3">
        <w:rPr>
          <w:rStyle w:val="normaltextrun"/>
          <w:shd w:val="clear" w:color="auto" w:fill="FFFFFF"/>
        </w:rPr>
        <w:t xml:space="preserve">recommends public comment on </w:t>
      </w:r>
      <w:r w:rsidR="00B74BF6">
        <w:rPr>
          <w:rStyle w:val="normaltextrun"/>
          <w:shd w:val="clear" w:color="auto" w:fill="FFFFFF"/>
        </w:rPr>
        <w:t xml:space="preserve">CCR permit </w:t>
      </w:r>
      <w:r w:rsidR="003B537F">
        <w:rPr>
          <w:rStyle w:val="normaltextrun"/>
          <w:shd w:val="clear" w:color="auto" w:fill="FFFFFF"/>
        </w:rPr>
        <w:t>application</w:t>
      </w:r>
      <w:r w:rsidR="00B74BF6">
        <w:rPr>
          <w:rStyle w:val="normaltextrun"/>
          <w:shd w:val="clear" w:color="auto" w:fill="FFFFFF"/>
        </w:rPr>
        <w:t>s</w:t>
      </w:r>
      <w:r w:rsidR="003B537F">
        <w:rPr>
          <w:rStyle w:val="normaltextrun"/>
          <w:shd w:val="clear" w:color="auto" w:fill="FFFFFF"/>
        </w:rPr>
        <w:t xml:space="preserve"> </w:t>
      </w:r>
      <w:r w:rsidR="00C304ED">
        <w:rPr>
          <w:rStyle w:val="normaltextrun"/>
          <w:shd w:val="clear" w:color="auto" w:fill="FFFFFF"/>
        </w:rPr>
        <w:t>and notice</w:t>
      </w:r>
      <w:r w:rsidR="00B74BF6">
        <w:rPr>
          <w:rStyle w:val="normaltextrun"/>
          <w:shd w:val="clear" w:color="auto" w:fill="FFFFFF"/>
        </w:rPr>
        <w:t>s</w:t>
      </w:r>
      <w:r w:rsidR="00C304ED">
        <w:rPr>
          <w:rStyle w:val="normaltextrun"/>
          <w:shd w:val="clear" w:color="auto" w:fill="FFFFFF"/>
        </w:rPr>
        <w:t xml:space="preserve"> of intent to issue draft permits. </w:t>
      </w:r>
      <w:r w:rsidR="006A4F6B">
        <w:rPr>
          <w:rStyle w:val="normaltextrun"/>
          <w:shd w:val="clear" w:color="auto" w:fill="FFFFFF"/>
        </w:rPr>
        <w:t xml:space="preserve">Neither the regulations nor the </w:t>
      </w:r>
      <w:r w:rsidR="00317A6F">
        <w:rPr>
          <w:rStyle w:val="normaltextrun"/>
          <w:shd w:val="clear" w:color="auto" w:fill="FFFFFF"/>
        </w:rPr>
        <w:t>draft Narrative specifically address whether</w:t>
      </w:r>
      <w:r w:rsidRPr="00C512BB" w:rsidDel="006A4F6B">
        <w:rPr>
          <w:rStyle w:val="normaltextrun"/>
          <w:shd w:val="clear" w:color="auto" w:fill="FFFFFF"/>
        </w:rPr>
        <w:t xml:space="preserve"> </w:t>
      </w:r>
      <w:r w:rsidR="6308AF38" w:rsidRPr="00C512BB">
        <w:rPr>
          <w:rStyle w:val="normaltextrun"/>
          <w:shd w:val="clear" w:color="auto" w:fill="FFFFFF"/>
        </w:rPr>
        <w:t>FDEP</w:t>
      </w:r>
      <w:r w:rsidR="009A3DA8" w:rsidRPr="00C512BB" w:rsidDel="00317A6F">
        <w:rPr>
          <w:rStyle w:val="normaltextrun"/>
          <w:shd w:val="clear" w:color="auto" w:fill="FFFFFF"/>
        </w:rPr>
        <w:t xml:space="preserve"> </w:t>
      </w:r>
      <w:r w:rsidR="00C23AAB" w:rsidRPr="00DC45DD">
        <w:rPr>
          <w:rStyle w:val="normaltextrun"/>
          <w:shd w:val="clear" w:color="auto" w:fill="FFFFFF"/>
        </w:rPr>
        <w:t>request</w:t>
      </w:r>
      <w:r w:rsidR="00317A6F">
        <w:rPr>
          <w:rStyle w:val="normaltextrun"/>
          <w:shd w:val="clear" w:color="auto" w:fill="FFFFFF"/>
        </w:rPr>
        <w:t>s or considers</w:t>
      </w:r>
      <w:r w:rsidR="00C23AAB" w:rsidRPr="00DC45DD">
        <w:rPr>
          <w:rStyle w:val="normaltextrun"/>
          <w:shd w:val="clear" w:color="auto" w:fill="FFFFFF"/>
        </w:rPr>
        <w:t xml:space="preserve"> public comments, </w:t>
      </w:r>
      <w:r w:rsidR="009456C3">
        <w:rPr>
          <w:rStyle w:val="normaltextrun"/>
          <w:shd w:val="clear" w:color="auto" w:fill="FFFFFF"/>
        </w:rPr>
        <w:t xml:space="preserve">or </w:t>
      </w:r>
      <w:r w:rsidR="006A76DD" w:rsidRPr="00DC45DD">
        <w:rPr>
          <w:rStyle w:val="normaltextrun"/>
          <w:shd w:val="clear" w:color="auto" w:fill="FFFFFF"/>
        </w:rPr>
        <w:t>pr</w:t>
      </w:r>
      <w:r w:rsidR="00E37C0C" w:rsidRPr="00DC45DD">
        <w:rPr>
          <w:rStyle w:val="normaltextrun"/>
          <w:shd w:val="clear" w:color="auto" w:fill="FFFFFF"/>
        </w:rPr>
        <w:t>ovide</w:t>
      </w:r>
      <w:r w:rsidR="009456C3">
        <w:rPr>
          <w:rStyle w:val="normaltextrun"/>
          <w:shd w:val="clear" w:color="auto" w:fill="FFFFFF"/>
        </w:rPr>
        <w:t>s</w:t>
      </w:r>
      <w:r w:rsidR="00E37C0C" w:rsidRPr="00DC45DD">
        <w:rPr>
          <w:rStyle w:val="normaltextrun"/>
          <w:shd w:val="clear" w:color="auto" w:fill="FFFFFF"/>
        </w:rPr>
        <w:t xml:space="preserve"> a </w:t>
      </w:r>
      <w:r w:rsidR="006A729A" w:rsidRPr="00C512BB">
        <w:rPr>
          <w:rStyle w:val="normaltextrun"/>
          <w:shd w:val="clear" w:color="auto" w:fill="FFFFFF"/>
        </w:rPr>
        <w:t xml:space="preserve">specific </w:t>
      </w:r>
      <w:r w:rsidR="00E6087D" w:rsidRPr="00DC45DD">
        <w:rPr>
          <w:rStyle w:val="normaltextrun"/>
          <w:shd w:val="clear" w:color="auto" w:fill="FFFFFF"/>
        </w:rPr>
        <w:t>time</w:t>
      </w:r>
      <w:r w:rsidR="006A729A" w:rsidRPr="00C512BB">
        <w:rPr>
          <w:rStyle w:val="normaltextrun"/>
          <w:shd w:val="clear" w:color="auto" w:fill="FFFFFF"/>
        </w:rPr>
        <w:t xml:space="preserve"> period to </w:t>
      </w:r>
      <w:r w:rsidR="00E6087D" w:rsidRPr="00DC45DD">
        <w:rPr>
          <w:rStyle w:val="normaltextrun"/>
          <w:shd w:val="clear" w:color="auto" w:fill="FFFFFF"/>
        </w:rPr>
        <w:t xml:space="preserve">receive comments, </w:t>
      </w:r>
      <w:r w:rsidR="00C07E5C">
        <w:rPr>
          <w:rStyle w:val="normaltextrun"/>
          <w:shd w:val="clear" w:color="auto" w:fill="FFFFFF"/>
        </w:rPr>
        <w:t xml:space="preserve">or </w:t>
      </w:r>
      <w:r w:rsidR="0031767C" w:rsidRPr="00C512BB">
        <w:rPr>
          <w:rStyle w:val="normaltextrun"/>
          <w:shd w:val="clear" w:color="auto" w:fill="FFFFFF"/>
        </w:rPr>
        <w:t xml:space="preserve">respond to </w:t>
      </w:r>
      <w:r w:rsidR="00D119E1" w:rsidRPr="00DC45DD">
        <w:rPr>
          <w:rStyle w:val="normaltextrun"/>
          <w:shd w:val="clear" w:color="auto" w:fill="FFFFFF"/>
        </w:rPr>
        <w:t>comment</w:t>
      </w:r>
      <w:r w:rsidR="00B74BF6">
        <w:rPr>
          <w:rStyle w:val="normaltextrun"/>
          <w:shd w:val="clear" w:color="auto" w:fill="FFFFFF"/>
        </w:rPr>
        <w:t>s</w:t>
      </w:r>
      <w:r w:rsidR="00D119E1" w:rsidRPr="00DC45DD">
        <w:rPr>
          <w:rStyle w:val="normaltextrun"/>
          <w:shd w:val="clear" w:color="auto" w:fill="FFFFFF"/>
        </w:rPr>
        <w:t xml:space="preserve">. </w:t>
      </w:r>
    </w:p>
    <w:p w14:paraId="17F1C878" w14:textId="77777777" w:rsidR="00DC45DD" w:rsidRPr="00DC45DD" w:rsidRDefault="00DC45DD" w:rsidP="00DC45DD">
      <w:pPr>
        <w:pStyle w:val="paragraph"/>
        <w:spacing w:before="0" w:beforeAutospacing="0" w:after="0" w:afterAutospacing="0"/>
        <w:ind w:left="720"/>
        <w:textAlignment w:val="baseline"/>
        <w:rPr>
          <w:rStyle w:val="normaltextrun"/>
          <w:shd w:val="clear" w:color="auto" w:fill="FFFFFF"/>
        </w:rPr>
      </w:pPr>
    </w:p>
    <w:p w14:paraId="2B340DD8" w14:textId="750FAC86" w:rsidR="00564E2D" w:rsidRPr="00564E2D" w:rsidRDefault="00564E2D" w:rsidP="00564E2D">
      <w:pPr>
        <w:pStyle w:val="paragraph"/>
        <w:spacing w:before="0" w:beforeAutospacing="0" w:after="0" w:afterAutospacing="0"/>
        <w:ind w:left="720"/>
        <w:textAlignment w:val="baseline"/>
        <w:rPr>
          <w:rStyle w:val="normaltextrun"/>
          <w:rFonts w:asciiTheme="minorHAnsi" w:eastAsiaTheme="minorEastAsia" w:hAnsiTheme="minorHAnsi" w:cstheme="minorBidi"/>
        </w:rPr>
      </w:pPr>
      <w:r>
        <w:rPr>
          <w:rStyle w:val="normaltextrun"/>
          <w:shd w:val="clear" w:color="auto" w:fill="FFFFFF"/>
        </w:rPr>
        <w:t>EPA Suggest</w:t>
      </w:r>
      <w:r w:rsidDel="0018137D">
        <w:rPr>
          <w:rStyle w:val="normaltextrun"/>
          <w:shd w:val="clear" w:color="auto" w:fill="FFFFFF"/>
        </w:rPr>
        <w:t>ion</w:t>
      </w:r>
      <w:r>
        <w:rPr>
          <w:rStyle w:val="normaltextrun"/>
          <w:shd w:val="clear" w:color="auto" w:fill="FFFFFF"/>
        </w:rPr>
        <w:t>:</w:t>
      </w:r>
    </w:p>
    <w:p w14:paraId="06FE4F08" w14:textId="37716ABF" w:rsidR="00ED1C6B" w:rsidRPr="00D41908" w:rsidRDefault="0031767C" w:rsidP="00ED1C6B">
      <w:pPr>
        <w:pStyle w:val="paragraph"/>
        <w:numPr>
          <w:ilvl w:val="0"/>
          <w:numId w:val="35"/>
        </w:numPr>
        <w:spacing w:before="0" w:beforeAutospacing="0" w:after="0" w:afterAutospacing="0"/>
        <w:textAlignment w:val="baseline"/>
        <w:rPr>
          <w:rStyle w:val="normaltextrun"/>
          <w:rFonts w:eastAsiaTheme="minorEastAsia"/>
        </w:rPr>
      </w:pPr>
      <w:r w:rsidRPr="00201157">
        <w:rPr>
          <w:rStyle w:val="normaltextrun"/>
          <w:shd w:val="clear" w:color="auto" w:fill="FFFFFF"/>
        </w:rPr>
        <w:t xml:space="preserve">EPA generally expects that an adequate CCR permit program will </w:t>
      </w:r>
      <w:r w:rsidR="00721FE6">
        <w:rPr>
          <w:rStyle w:val="normaltextrun"/>
          <w:shd w:val="clear" w:color="auto" w:fill="FFFFFF"/>
        </w:rPr>
        <w:t>require</w:t>
      </w:r>
      <w:r w:rsidR="00BC593B">
        <w:rPr>
          <w:rStyle w:val="normaltextrun"/>
          <w:shd w:val="clear" w:color="auto" w:fill="FFFFFF"/>
        </w:rPr>
        <w:t xml:space="preserve"> </w:t>
      </w:r>
      <w:r w:rsidR="00AF538F">
        <w:rPr>
          <w:rStyle w:val="normaltextrun"/>
          <w:shd w:val="clear" w:color="auto" w:fill="FFFFFF"/>
        </w:rPr>
        <w:t>the agency to</w:t>
      </w:r>
      <w:r w:rsidR="004A6C18">
        <w:rPr>
          <w:rStyle w:val="normaltextrun"/>
          <w:shd w:val="clear" w:color="auto" w:fill="FFFFFF"/>
        </w:rPr>
        <w:t>: 1)</w:t>
      </w:r>
      <w:r>
        <w:rPr>
          <w:rStyle w:val="normaltextrun"/>
          <w:shd w:val="clear" w:color="auto" w:fill="FFFFFF"/>
        </w:rPr>
        <w:t xml:space="preserve"> </w:t>
      </w:r>
      <w:r w:rsidR="00A06576">
        <w:rPr>
          <w:rStyle w:val="normaltextrun"/>
          <w:shd w:val="clear" w:color="auto" w:fill="FFFFFF"/>
        </w:rPr>
        <w:t xml:space="preserve">request </w:t>
      </w:r>
      <w:r w:rsidR="0054506A">
        <w:rPr>
          <w:rStyle w:val="normaltextrun"/>
          <w:shd w:val="clear" w:color="auto" w:fill="FFFFFF"/>
        </w:rPr>
        <w:t>public comment as part of pu</w:t>
      </w:r>
      <w:r w:rsidR="004468A5">
        <w:rPr>
          <w:rStyle w:val="normaltextrun"/>
          <w:shd w:val="clear" w:color="auto" w:fill="FFFFFF"/>
        </w:rPr>
        <w:t>blic notice</w:t>
      </w:r>
      <w:r w:rsidR="004A6C18">
        <w:rPr>
          <w:rStyle w:val="normaltextrun"/>
          <w:shd w:val="clear" w:color="auto" w:fill="FFFFFF"/>
        </w:rPr>
        <w:t>; 2)</w:t>
      </w:r>
      <w:r w:rsidR="004468A5">
        <w:rPr>
          <w:rStyle w:val="normaltextrun"/>
          <w:shd w:val="clear" w:color="auto" w:fill="FFFFFF"/>
        </w:rPr>
        <w:t xml:space="preserve"> </w:t>
      </w:r>
      <w:r w:rsidRPr="00201157">
        <w:rPr>
          <w:rStyle w:val="normaltextrun"/>
          <w:shd w:val="clear" w:color="auto" w:fill="FFFFFF"/>
        </w:rPr>
        <w:t xml:space="preserve">provide for a </w:t>
      </w:r>
      <w:r w:rsidRPr="00201157" w:rsidDel="00390BD4">
        <w:rPr>
          <w:rStyle w:val="normaltextrun"/>
          <w:shd w:val="clear" w:color="auto" w:fill="FFFFFF"/>
        </w:rPr>
        <w:t>m</w:t>
      </w:r>
      <w:r w:rsidR="146133EF" w:rsidRPr="00201157" w:rsidDel="00390BD4">
        <w:rPr>
          <w:rStyle w:val="normaltextrun"/>
          <w:shd w:val="clear" w:color="auto" w:fill="FFFFFF"/>
        </w:rPr>
        <w:t xml:space="preserve">andatory </w:t>
      </w:r>
      <w:r w:rsidR="146133EF" w:rsidRPr="00201157">
        <w:rPr>
          <w:rStyle w:val="normaltextrun"/>
        </w:rPr>
        <w:t>comment period</w:t>
      </w:r>
      <w:r w:rsidRPr="00201157">
        <w:rPr>
          <w:rStyle w:val="normaltextrun"/>
        </w:rPr>
        <w:t xml:space="preserve"> of no less than 30 days</w:t>
      </w:r>
      <w:r w:rsidR="4762875C" w:rsidRPr="00201157">
        <w:rPr>
          <w:rStyle w:val="normaltextrun"/>
        </w:rPr>
        <w:t xml:space="preserve">, with </w:t>
      </w:r>
      <w:r w:rsidR="781B6FA8" w:rsidRPr="00201157">
        <w:rPr>
          <w:rStyle w:val="normaltextrun"/>
        </w:rPr>
        <w:t xml:space="preserve">the </w:t>
      </w:r>
      <w:r w:rsidR="4762875C" w:rsidRPr="00201157">
        <w:rPr>
          <w:rStyle w:val="normaltextrun"/>
        </w:rPr>
        <w:t xml:space="preserve">option to extend the comment period </w:t>
      </w:r>
      <w:r w:rsidRPr="00201157">
        <w:rPr>
          <w:rStyle w:val="normaltextrun"/>
        </w:rPr>
        <w:t>as needed</w:t>
      </w:r>
      <w:r w:rsidR="004A6C18">
        <w:rPr>
          <w:rStyle w:val="normaltextrun"/>
        </w:rPr>
        <w:t>; 3)</w:t>
      </w:r>
      <w:r w:rsidRPr="00201157">
        <w:rPr>
          <w:rStyle w:val="normaltextrun"/>
        </w:rPr>
        <w:t xml:space="preserve"> consider </w:t>
      </w:r>
      <w:r w:rsidR="00443347">
        <w:rPr>
          <w:rStyle w:val="normaltextrun"/>
        </w:rPr>
        <w:t xml:space="preserve">and </w:t>
      </w:r>
      <w:r>
        <w:rPr>
          <w:rStyle w:val="normaltextrun"/>
        </w:rPr>
        <w:t>respond</w:t>
      </w:r>
      <w:r w:rsidRPr="00201157">
        <w:rPr>
          <w:rStyle w:val="normaltextrun"/>
        </w:rPr>
        <w:t xml:space="preserve"> to public comments</w:t>
      </w:r>
      <w:r w:rsidR="00443347">
        <w:rPr>
          <w:rStyle w:val="normaltextrun"/>
        </w:rPr>
        <w:t>;</w:t>
      </w:r>
      <w:r w:rsidRPr="00201157">
        <w:rPr>
          <w:rStyle w:val="normaltextrun"/>
        </w:rPr>
        <w:t xml:space="preserve"> and </w:t>
      </w:r>
      <w:r w:rsidR="00443347">
        <w:rPr>
          <w:rStyle w:val="normaltextrun"/>
        </w:rPr>
        <w:t>4)</w:t>
      </w:r>
      <w:r>
        <w:rPr>
          <w:rStyle w:val="normaltextrun"/>
        </w:rPr>
        <w:t xml:space="preserve"> </w:t>
      </w:r>
      <w:r w:rsidR="009B5C16">
        <w:rPr>
          <w:rStyle w:val="normaltextrun"/>
        </w:rPr>
        <w:t>make</w:t>
      </w:r>
      <w:r w:rsidRPr="00201157">
        <w:rPr>
          <w:rStyle w:val="normaltextrun"/>
        </w:rPr>
        <w:t xml:space="preserve"> </w:t>
      </w:r>
      <w:r w:rsidR="0001464D">
        <w:rPr>
          <w:rStyle w:val="normaltextrun"/>
        </w:rPr>
        <w:t xml:space="preserve">the agency’s final decision on a permit and </w:t>
      </w:r>
      <w:r w:rsidRPr="00201157">
        <w:rPr>
          <w:rStyle w:val="normaltextrun"/>
        </w:rPr>
        <w:t xml:space="preserve">responses </w:t>
      </w:r>
      <w:r w:rsidR="00B15F0C">
        <w:rPr>
          <w:rStyle w:val="normaltextrun"/>
        </w:rPr>
        <w:t xml:space="preserve">to comment </w:t>
      </w:r>
      <w:r w:rsidRPr="00201157">
        <w:rPr>
          <w:rStyle w:val="normaltextrun"/>
        </w:rPr>
        <w:t>available to the public.</w:t>
      </w:r>
    </w:p>
    <w:p w14:paraId="38915721" w14:textId="77777777" w:rsidR="00C512BB" w:rsidRPr="00201157" w:rsidRDefault="00C512BB" w:rsidP="00C512BB">
      <w:pPr>
        <w:pStyle w:val="paragraph"/>
        <w:spacing w:before="0" w:beforeAutospacing="0" w:after="0" w:afterAutospacing="0"/>
        <w:ind w:left="1440"/>
        <w:textAlignment w:val="baseline"/>
        <w:rPr>
          <w:rStyle w:val="normaltextrun"/>
          <w:rFonts w:eastAsiaTheme="minorEastAsia"/>
        </w:rPr>
      </w:pPr>
    </w:p>
    <w:p w14:paraId="288BAB9A" w14:textId="2D0E6145" w:rsidR="0022339F" w:rsidRPr="0022339F" w:rsidRDefault="00D41908" w:rsidP="0022339F">
      <w:pPr>
        <w:pStyle w:val="paragraph"/>
        <w:numPr>
          <w:ilvl w:val="0"/>
          <w:numId w:val="19"/>
        </w:numPr>
        <w:spacing w:before="0" w:beforeAutospacing="0" w:after="0" w:afterAutospacing="0"/>
        <w:textAlignment w:val="baseline"/>
        <w:rPr>
          <w:rStyle w:val="text"/>
          <w:rFonts w:eastAsiaTheme="minorEastAsia"/>
          <w:color w:val="000000"/>
          <w:shd w:val="clear" w:color="auto" w:fill="FFFFFF"/>
        </w:rPr>
      </w:pPr>
      <w:r>
        <w:t xml:space="preserve">Public </w:t>
      </w:r>
      <w:r w:rsidR="002B4A8F">
        <w:t>Hearing</w:t>
      </w:r>
      <w:r>
        <w:t xml:space="preserve"> - </w:t>
      </w:r>
      <w:r>
        <w:rPr>
          <w:rStyle w:val="normaltextrun"/>
        </w:rPr>
        <w:t>It is unclear within the rules whether any type of public hearing or public meeting process will be used in conjunction with CCR permits. There is a brief reference to a hearing within F.S. 403.815 (</w:t>
      </w:r>
      <w:r w:rsidRPr="003F3A4C">
        <w:rPr>
          <w:rStyle w:val="normaltextrun"/>
        </w:rPr>
        <w:t>“</w:t>
      </w:r>
      <w:r w:rsidRPr="003F3A4C">
        <w:rPr>
          <w:rStyle w:val="text"/>
          <w:color w:val="000000"/>
          <w:shd w:val="clear" w:color="auto" w:fill="FFFFFF"/>
        </w:rPr>
        <w:t>Within 14 days after publication of notice of proposed agency action, any person whose substantial interests are affected may request a hearing in accordance with ss. </w:t>
      </w:r>
      <w:hyperlink r:id="rId10" w:history="1">
        <w:r w:rsidRPr="003F3A4C">
          <w:rPr>
            <w:rStyle w:val="Hyperlink"/>
            <w:b/>
            <w:bCs/>
            <w:color w:val="2489CE"/>
            <w:shd w:val="clear" w:color="auto" w:fill="FFFFFF"/>
          </w:rPr>
          <w:t>120.569</w:t>
        </w:r>
      </w:hyperlink>
      <w:r w:rsidRPr="003F3A4C">
        <w:rPr>
          <w:rStyle w:val="text"/>
          <w:color w:val="000000"/>
          <w:shd w:val="clear" w:color="auto" w:fill="FFFFFF"/>
        </w:rPr>
        <w:t> and </w:t>
      </w:r>
      <w:hyperlink r:id="rId11" w:history="1">
        <w:r w:rsidRPr="003F3A4C">
          <w:rPr>
            <w:rStyle w:val="Hyperlink"/>
            <w:b/>
            <w:bCs/>
            <w:color w:val="2489CE"/>
            <w:shd w:val="clear" w:color="auto" w:fill="FFFFFF"/>
          </w:rPr>
          <w:t>120.57</w:t>
        </w:r>
      </w:hyperlink>
      <w:r w:rsidRPr="003F3A4C">
        <w:rPr>
          <w:rStyle w:val="text"/>
          <w:color w:val="000000"/>
          <w:shd w:val="clear" w:color="auto" w:fill="FFFFFF"/>
        </w:rPr>
        <w:t>”).</w:t>
      </w:r>
      <w:r>
        <w:rPr>
          <w:rStyle w:val="text"/>
          <w:color w:val="000000"/>
          <w:shd w:val="clear" w:color="auto" w:fill="FFFFFF"/>
        </w:rPr>
        <w:t xml:space="preserve">  However, this appears to only be an opportunity for a facility </w:t>
      </w:r>
      <w:r w:rsidR="00793F1B">
        <w:rPr>
          <w:rStyle w:val="text"/>
          <w:color w:val="000000"/>
          <w:shd w:val="clear" w:color="auto" w:fill="FFFFFF"/>
        </w:rPr>
        <w:t xml:space="preserve">or </w:t>
      </w:r>
      <w:r w:rsidR="003469CD">
        <w:rPr>
          <w:rStyle w:val="text"/>
          <w:color w:val="000000"/>
          <w:shd w:val="clear" w:color="auto" w:fill="FFFFFF"/>
        </w:rPr>
        <w:t>person w</w:t>
      </w:r>
      <w:r w:rsidR="00F321A6">
        <w:rPr>
          <w:rStyle w:val="text"/>
          <w:color w:val="000000"/>
          <w:shd w:val="clear" w:color="auto" w:fill="FFFFFF"/>
        </w:rPr>
        <w:t xml:space="preserve">hose </w:t>
      </w:r>
      <w:r w:rsidR="003469CD">
        <w:rPr>
          <w:rStyle w:val="text"/>
          <w:color w:val="000000"/>
          <w:shd w:val="clear" w:color="auto" w:fill="FFFFFF"/>
        </w:rPr>
        <w:t>substantial interest</w:t>
      </w:r>
      <w:r w:rsidR="00294A2B">
        <w:rPr>
          <w:rStyle w:val="text"/>
          <w:color w:val="000000"/>
          <w:shd w:val="clear" w:color="auto" w:fill="FFFFFF"/>
        </w:rPr>
        <w:t>s</w:t>
      </w:r>
      <w:r w:rsidR="00A1603E">
        <w:rPr>
          <w:rStyle w:val="text"/>
          <w:color w:val="000000"/>
          <w:shd w:val="clear" w:color="auto" w:fill="FFFFFF"/>
        </w:rPr>
        <w:t xml:space="preserve"> </w:t>
      </w:r>
      <w:r w:rsidR="00294A2B">
        <w:rPr>
          <w:rStyle w:val="text"/>
          <w:color w:val="000000"/>
          <w:shd w:val="clear" w:color="auto" w:fill="FFFFFF"/>
        </w:rPr>
        <w:t>are</w:t>
      </w:r>
      <w:r w:rsidR="00F321A6">
        <w:rPr>
          <w:rStyle w:val="text"/>
          <w:color w:val="000000"/>
          <w:shd w:val="clear" w:color="auto" w:fill="FFFFFF"/>
        </w:rPr>
        <w:t xml:space="preserve"> affected </w:t>
      </w:r>
      <w:r>
        <w:rPr>
          <w:rStyle w:val="text"/>
          <w:color w:val="000000"/>
          <w:shd w:val="clear" w:color="auto" w:fill="FFFFFF"/>
        </w:rPr>
        <w:t xml:space="preserve">to administratively contest the agency action. </w:t>
      </w:r>
    </w:p>
    <w:p w14:paraId="6075F9E9" w14:textId="77777777" w:rsidR="004F01F3" w:rsidRDefault="004F01F3" w:rsidP="005C77C6">
      <w:pPr>
        <w:pStyle w:val="paragraph"/>
        <w:spacing w:before="0" w:beforeAutospacing="0" w:after="0" w:afterAutospacing="0"/>
        <w:ind w:left="720"/>
        <w:textAlignment w:val="baseline"/>
        <w:rPr>
          <w:rStyle w:val="text"/>
          <w:color w:val="000000"/>
          <w:shd w:val="clear" w:color="auto" w:fill="FFFFFF"/>
        </w:rPr>
      </w:pPr>
    </w:p>
    <w:p w14:paraId="31ECBA5B" w14:textId="382A91E8" w:rsidR="004F01F3" w:rsidRPr="00C443E1" w:rsidRDefault="004F01F3" w:rsidP="00C443E1">
      <w:pPr>
        <w:pStyle w:val="paragraph"/>
        <w:spacing w:before="0" w:beforeAutospacing="0" w:after="0" w:afterAutospacing="0"/>
        <w:ind w:firstLine="720"/>
        <w:textAlignment w:val="baseline"/>
        <w:rPr>
          <w:rStyle w:val="text"/>
          <w:rFonts w:eastAsiaTheme="minorEastAsia"/>
        </w:rPr>
      </w:pPr>
      <w:r>
        <w:rPr>
          <w:rStyle w:val="text"/>
          <w:color w:val="000000"/>
          <w:shd w:val="clear" w:color="auto" w:fill="FFFFFF"/>
        </w:rPr>
        <w:t>EPA Suggest</w:t>
      </w:r>
      <w:r w:rsidR="002C0212">
        <w:rPr>
          <w:rStyle w:val="text"/>
          <w:color w:val="000000"/>
          <w:shd w:val="clear" w:color="auto" w:fill="FFFFFF"/>
        </w:rPr>
        <w:t>ion</w:t>
      </w:r>
      <w:r w:rsidR="0018137D">
        <w:rPr>
          <w:rStyle w:val="text"/>
          <w:color w:val="000000"/>
          <w:shd w:val="clear" w:color="auto" w:fill="FFFFFF"/>
        </w:rPr>
        <w:t>:</w:t>
      </w:r>
    </w:p>
    <w:p w14:paraId="37265316" w14:textId="4561D760" w:rsidR="00D41908" w:rsidRPr="00A61695" w:rsidRDefault="00D41908" w:rsidP="00C443E1">
      <w:pPr>
        <w:pStyle w:val="paragraph"/>
        <w:numPr>
          <w:ilvl w:val="1"/>
          <w:numId w:val="19"/>
        </w:numPr>
        <w:spacing w:before="0" w:beforeAutospacing="0" w:after="0" w:afterAutospacing="0"/>
        <w:textAlignment w:val="baseline"/>
        <w:rPr>
          <w:rStyle w:val="text"/>
          <w:rFonts w:eastAsiaTheme="minorEastAsia"/>
        </w:rPr>
      </w:pPr>
      <w:r>
        <w:rPr>
          <w:rStyle w:val="text"/>
          <w:color w:val="000000"/>
          <w:shd w:val="clear" w:color="auto" w:fill="FFFFFF"/>
        </w:rPr>
        <w:t>EPA recommends FDEP consider adding regulations that create a requirement or option for a public hearing i</w:t>
      </w:r>
      <w:r w:rsidR="001E6211">
        <w:rPr>
          <w:rStyle w:val="text"/>
          <w:color w:val="000000"/>
          <w:shd w:val="clear" w:color="auto" w:fill="FFFFFF"/>
        </w:rPr>
        <w:t>f</w:t>
      </w:r>
      <w:r>
        <w:rPr>
          <w:rStyle w:val="text"/>
          <w:color w:val="000000"/>
          <w:shd w:val="clear" w:color="auto" w:fill="FFFFFF"/>
        </w:rPr>
        <w:t xml:space="preserve"> requested or if significant interest is received during the comment period.  </w:t>
      </w:r>
    </w:p>
    <w:p w14:paraId="446AAAED" w14:textId="77777777" w:rsidR="00A61695" w:rsidRPr="00C443E1" w:rsidRDefault="00A61695" w:rsidP="00A61695">
      <w:pPr>
        <w:pStyle w:val="paragraph"/>
        <w:spacing w:before="0" w:beforeAutospacing="0" w:after="0" w:afterAutospacing="0"/>
        <w:ind w:left="1440"/>
        <w:textAlignment w:val="baseline"/>
        <w:rPr>
          <w:rStyle w:val="normaltextrun"/>
          <w:rFonts w:eastAsiaTheme="minorEastAsia"/>
        </w:rPr>
      </w:pPr>
    </w:p>
    <w:p w14:paraId="202FDA47" w14:textId="0A509692" w:rsidR="00C512BB" w:rsidRDefault="6AC02516" w:rsidP="00CD3AB2">
      <w:pPr>
        <w:pStyle w:val="paragraph"/>
        <w:numPr>
          <w:ilvl w:val="0"/>
          <w:numId w:val="19"/>
        </w:numPr>
        <w:spacing w:before="0" w:beforeAutospacing="0" w:after="0" w:afterAutospacing="0"/>
        <w:contextualSpacing/>
        <w:textAlignment w:val="baseline"/>
      </w:pPr>
      <w:r w:rsidRPr="00201157">
        <w:rPr>
          <w:rStyle w:val="normaltextrun"/>
          <w:shd w:val="clear" w:color="auto" w:fill="FFFFFF"/>
        </w:rPr>
        <w:t>Modifications</w:t>
      </w:r>
      <w:r w:rsidR="096FD130" w:rsidRPr="00201157">
        <w:rPr>
          <w:rStyle w:val="normaltextrun"/>
          <w:shd w:val="clear" w:color="auto" w:fill="FFFFFF"/>
        </w:rPr>
        <w:t xml:space="preserve"> </w:t>
      </w:r>
      <w:r w:rsidR="7256FB94" w:rsidRPr="00201157">
        <w:rPr>
          <w:rStyle w:val="normaltextrun"/>
          <w:shd w:val="clear" w:color="auto" w:fill="FFFFFF"/>
        </w:rPr>
        <w:t>–</w:t>
      </w:r>
      <w:r w:rsidRPr="00201157">
        <w:rPr>
          <w:rStyle w:val="normaltextrun"/>
          <w:shd w:val="clear" w:color="auto" w:fill="FFFFFF"/>
        </w:rPr>
        <w:t xml:space="preserve"> </w:t>
      </w:r>
      <w:r w:rsidR="43C5D3EF" w:rsidRPr="00C512BB">
        <w:t>There are three modification types</w:t>
      </w:r>
      <w:r w:rsidR="00B26355">
        <w:t>,</w:t>
      </w:r>
      <w:r w:rsidR="43C5D3EF" w:rsidRPr="00C512BB">
        <w:t xml:space="preserve"> minor, intermediate, and substantial</w:t>
      </w:r>
      <w:r w:rsidR="00B26355">
        <w:t>,</w:t>
      </w:r>
      <w:r w:rsidR="43C5D3EF" w:rsidRPr="00C512BB">
        <w:t xml:space="preserve"> defined </w:t>
      </w:r>
      <w:r w:rsidR="00494EEE">
        <w:t>in</w:t>
      </w:r>
      <w:r w:rsidR="43C5D3EF" w:rsidRPr="00C512BB">
        <w:t xml:space="preserve"> Rule 62-701.</w:t>
      </w:r>
      <w:r w:rsidR="00AE235C" w:rsidRPr="00C512BB">
        <w:t>805(</w:t>
      </w:r>
      <w:r w:rsidR="000370C5" w:rsidRPr="00C512BB">
        <w:t>13)(c)2.-</w:t>
      </w:r>
      <w:r w:rsidR="43C5D3EF" w:rsidRPr="00C512BB">
        <w:t>4.</w:t>
      </w:r>
      <w:r w:rsidR="192CD586" w:rsidRPr="00C512BB">
        <w:t xml:space="preserve"> </w:t>
      </w:r>
      <w:r w:rsidR="003754B9" w:rsidRPr="00C512BB">
        <w:t>It appears that FDEP only requires public participation for substantial modifications</w:t>
      </w:r>
      <w:r w:rsidR="00B029CD" w:rsidRPr="00C512BB">
        <w:t>.</w:t>
      </w:r>
      <w:r w:rsidR="00D42837" w:rsidRPr="00D42837">
        <w:t xml:space="preserve"> </w:t>
      </w:r>
    </w:p>
    <w:p w14:paraId="18FFD6E6" w14:textId="77777777" w:rsidR="00844687" w:rsidRPr="00844687" w:rsidRDefault="00844687" w:rsidP="00844687">
      <w:pPr>
        <w:pStyle w:val="paragraph"/>
        <w:spacing w:before="0" w:beforeAutospacing="0" w:after="0" w:afterAutospacing="0"/>
        <w:ind w:left="720"/>
        <w:contextualSpacing/>
        <w:textAlignment w:val="baseline"/>
      </w:pPr>
    </w:p>
    <w:p w14:paraId="04D023E5" w14:textId="4CDD497A" w:rsidR="001276CB" w:rsidRDefault="00B029CD" w:rsidP="00655C1B">
      <w:pPr>
        <w:spacing w:after="0" w:line="240" w:lineRule="auto"/>
        <w:ind w:left="720"/>
        <w:contextualSpacing/>
        <w:rPr>
          <w:rFonts w:ascii="Times New Roman" w:hAnsi="Times New Roman" w:cs="Times New Roman"/>
          <w:sz w:val="24"/>
          <w:szCs w:val="24"/>
        </w:rPr>
      </w:pPr>
      <w:r w:rsidRPr="00201157">
        <w:rPr>
          <w:rFonts w:ascii="Times New Roman" w:hAnsi="Times New Roman" w:cs="Times New Roman"/>
          <w:sz w:val="24"/>
          <w:szCs w:val="24"/>
        </w:rPr>
        <w:t>EPA Suggestion:</w:t>
      </w:r>
    </w:p>
    <w:p w14:paraId="1574EA9A" w14:textId="2F893A0E" w:rsidR="00C512BB" w:rsidRDefault="00B029CD" w:rsidP="00655C1B">
      <w:pPr>
        <w:pStyle w:val="ListParagraph"/>
        <w:numPr>
          <w:ilvl w:val="0"/>
          <w:numId w:val="31"/>
        </w:numPr>
        <w:spacing w:after="0" w:line="240" w:lineRule="auto"/>
        <w:ind w:left="1440"/>
        <w:rPr>
          <w:rFonts w:ascii="Times New Roman" w:hAnsi="Times New Roman" w:cs="Times New Roman"/>
          <w:sz w:val="24"/>
          <w:szCs w:val="24"/>
        </w:rPr>
      </w:pPr>
      <w:r w:rsidRPr="001276CB">
        <w:rPr>
          <w:rFonts w:ascii="Times New Roman" w:hAnsi="Times New Roman" w:cs="Times New Roman"/>
          <w:sz w:val="24"/>
          <w:szCs w:val="24"/>
        </w:rPr>
        <w:t>P</w:t>
      </w:r>
      <w:r w:rsidR="00183426" w:rsidRPr="001276CB">
        <w:rPr>
          <w:rFonts w:ascii="Times New Roman" w:hAnsi="Times New Roman" w:cs="Times New Roman"/>
          <w:sz w:val="24"/>
          <w:szCs w:val="24"/>
        </w:rPr>
        <w:t>ublic participation</w:t>
      </w:r>
      <w:r w:rsidR="00B02B02" w:rsidRPr="001276CB">
        <w:rPr>
          <w:rFonts w:ascii="Times New Roman" w:hAnsi="Times New Roman" w:cs="Times New Roman"/>
          <w:sz w:val="24"/>
          <w:szCs w:val="24"/>
        </w:rPr>
        <w:t xml:space="preserve"> </w:t>
      </w:r>
      <w:r w:rsidR="001F0BF5">
        <w:rPr>
          <w:rFonts w:ascii="Times New Roman" w:hAnsi="Times New Roman" w:cs="Times New Roman"/>
          <w:sz w:val="24"/>
          <w:szCs w:val="24"/>
        </w:rPr>
        <w:t>(including public notice</w:t>
      </w:r>
      <w:r w:rsidR="0038717B">
        <w:rPr>
          <w:rFonts w:ascii="Times New Roman" w:hAnsi="Times New Roman" w:cs="Times New Roman"/>
          <w:sz w:val="24"/>
          <w:szCs w:val="24"/>
        </w:rPr>
        <w:t xml:space="preserve">, comment, and opportunity for hearing) </w:t>
      </w:r>
      <w:r w:rsidR="00B02B02" w:rsidRPr="001276CB">
        <w:rPr>
          <w:rFonts w:ascii="Times New Roman" w:hAnsi="Times New Roman" w:cs="Times New Roman"/>
          <w:sz w:val="24"/>
          <w:szCs w:val="24"/>
        </w:rPr>
        <w:t xml:space="preserve">should be required for all modifications that are </w:t>
      </w:r>
      <w:r w:rsidR="00576F8A" w:rsidRPr="001276CB">
        <w:rPr>
          <w:rFonts w:ascii="Times New Roman" w:hAnsi="Times New Roman" w:cs="Times New Roman"/>
          <w:sz w:val="24"/>
          <w:szCs w:val="24"/>
        </w:rPr>
        <w:t xml:space="preserve">not </w:t>
      </w:r>
      <w:r w:rsidR="008143D0">
        <w:rPr>
          <w:rFonts w:ascii="Times New Roman" w:hAnsi="Times New Roman" w:cs="Times New Roman"/>
          <w:sz w:val="24"/>
          <w:szCs w:val="24"/>
        </w:rPr>
        <w:t xml:space="preserve">essentially </w:t>
      </w:r>
      <w:r w:rsidR="00576F8A" w:rsidRPr="001276CB">
        <w:rPr>
          <w:rFonts w:ascii="Times New Roman" w:hAnsi="Times New Roman" w:cs="Times New Roman"/>
          <w:sz w:val="24"/>
          <w:szCs w:val="24"/>
        </w:rPr>
        <w:t xml:space="preserve">administrative </w:t>
      </w:r>
      <w:r w:rsidR="00B61BAC" w:rsidRPr="001276CB">
        <w:rPr>
          <w:rFonts w:ascii="Times New Roman" w:hAnsi="Times New Roman" w:cs="Times New Roman"/>
          <w:sz w:val="24"/>
          <w:szCs w:val="24"/>
        </w:rPr>
        <w:t>in nature</w:t>
      </w:r>
      <w:r w:rsidR="004963EA">
        <w:rPr>
          <w:rFonts w:ascii="Times New Roman" w:hAnsi="Times New Roman" w:cs="Times New Roman"/>
          <w:sz w:val="24"/>
          <w:szCs w:val="24"/>
        </w:rPr>
        <w:t xml:space="preserve"> or </w:t>
      </w:r>
      <w:r w:rsidR="00E27493">
        <w:rPr>
          <w:rFonts w:ascii="Times New Roman" w:hAnsi="Times New Roman" w:cs="Times New Roman"/>
          <w:sz w:val="24"/>
          <w:szCs w:val="24"/>
        </w:rPr>
        <w:t>will lessen the</w:t>
      </w:r>
      <w:r w:rsidRPr="001276CB">
        <w:rPr>
          <w:rFonts w:ascii="Times New Roman" w:hAnsi="Times New Roman" w:cs="Times New Roman"/>
          <w:sz w:val="24"/>
          <w:szCs w:val="24"/>
        </w:rPr>
        <w:t xml:space="preserve"> environmental impacts</w:t>
      </w:r>
      <w:r w:rsidR="00E27493">
        <w:rPr>
          <w:rFonts w:ascii="Times New Roman" w:hAnsi="Times New Roman" w:cs="Times New Roman"/>
          <w:sz w:val="24"/>
          <w:szCs w:val="24"/>
        </w:rPr>
        <w:t xml:space="preserve"> of the o</w:t>
      </w:r>
      <w:r w:rsidR="006E0282">
        <w:rPr>
          <w:rFonts w:ascii="Times New Roman" w:hAnsi="Times New Roman" w:cs="Times New Roman"/>
          <w:sz w:val="24"/>
          <w:szCs w:val="24"/>
        </w:rPr>
        <w:t>riginal permit</w:t>
      </w:r>
      <w:r w:rsidRPr="001276CB">
        <w:rPr>
          <w:rFonts w:ascii="Times New Roman" w:hAnsi="Times New Roman" w:cs="Times New Roman"/>
          <w:sz w:val="24"/>
          <w:szCs w:val="24"/>
        </w:rPr>
        <w:t xml:space="preserve">. </w:t>
      </w:r>
    </w:p>
    <w:sectPr w:rsidR="00C512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Yu Gothic"/>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3617F"/>
    <w:multiLevelType w:val="hybridMultilevel"/>
    <w:tmpl w:val="05FE2B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B3E7458"/>
    <w:multiLevelType w:val="hybridMultilevel"/>
    <w:tmpl w:val="4FC80520"/>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FC480F"/>
    <w:multiLevelType w:val="multilevel"/>
    <w:tmpl w:val="1A885AF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E5224C5"/>
    <w:multiLevelType w:val="multilevel"/>
    <w:tmpl w:val="9F7862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E73101"/>
    <w:multiLevelType w:val="hybridMultilevel"/>
    <w:tmpl w:val="4CC484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E96087F"/>
    <w:multiLevelType w:val="hybridMultilevel"/>
    <w:tmpl w:val="48100E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75759C"/>
    <w:multiLevelType w:val="hybridMultilevel"/>
    <w:tmpl w:val="39E8D9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7F20BD"/>
    <w:multiLevelType w:val="hybridMultilevel"/>
    <w:tmpl w:val="805CEA4E"/>
    <w:lvl w:ilvl="0" w:tplc="C6289B7C">
      <w:start w:val="1"/>
      <w:numFmt w:val="lowerLetter"/>
      <w:lvlText w:val="%1."/>
      <w:lvlJc w:val="left"/>
      <w:pPr>
        <w:ind w:left="1440" w:hanging="360"/>
      </w:pPr>
      <w:rPr>
        <w:rFonts w:ascii="Times New Roman" w:eastAsia="Times New Roman" w:hAnsi="Times New Roman" w:cs="Times New Roman"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DC112DE"/>
    <w:multiLevelType w:val="hybridMultilevel"/>
    <w:tmpl w:val="F28A37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69206F"/>
    <w:multiLevelType w:val="hybridMultilevel"/>
    <w:tmpl w:val="1B029D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2746D9"/>
    <w:multiLevelType w:val="hybridMultilevel"/>
    <w:tmpl w:val="4C06D438"/>
    <w:lvl w:ilvl="0" w:tplc="24B0B822">
      <w:start w:val="1"/>
      <w:numFmt w:val="decimal"/>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B2121A"/>
    <w:multiLevelType w:val="multilevel"/>
    <w:tmpl w:val="577A704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D717DF"/>
    <w:multiLevelType w:val="hybridMultilevel"/>
    <w:tmpl w:val="29C4C7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8F011C"/>
    <w:multiLevelType w:val="hybridMultilevel"/>
    <w:tmpl w:val="735618D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A1D19E7"/>
    <w:multiLevelType w:val="multilevel"/>
    <w:tmpl w:val="CA941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4219EA"/>
    <w:multiLevelType w:val="hybridMultilevel"/>
    <w:tmpl w:val="C6FA04E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C665239"/>
    <w:multiLevelType w:val="hybridMultilevel"/>
    <w:tmpl w:val="3CEA46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9F5111"/>
    <w:multiLevelType w:val="multilevel"/>
    <w:tmpl w:val="8544FC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4F34E07"/>
    <w:multiLevelType w:val="hybridMultilevel"/>
    <w:tmpl w:val="EB04A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ADB097E"/>
    <w:multiLevelType w:val="multilevel"/>
    <w:tmpl w:val="BE4624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10F05FC"/>
    <w:multiLevelType w:val="multilevel"/>
    <w:tmpl w:val="8C787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2E01973"/>
    <w:multiLevelType w:val="multilevel"/>
    <w:tmpl w:val="03040C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9A67FD0"/>
    <w:multiLevelType w:val="hybridMultilevel"/>
    <w:tmpl w:val="A12A31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C63DFB"/>
    <w:multiLevelType w:val="hybridMultilevel"/>
    <w:tmpl w:val="EE5E26E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15:restartNumberingAfterBreak="0">
    <w:nsid w:val="59DC0A8E"/>
    <w:multiLevelType w:val="hybridMultilevel"/>
    <w:tmpl w:val="598CBB5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BD3683F"/>
    <w:multiLevelType w:val="hybridMultilevel"/>
    <w:tmpl w:val="5F0833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810A85"/>
    <w:multiLevelType w:val="hybridMultilevel"/>
    <w:tmpl w:val="633A327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44B62F7"/>
    <w:multiLevelType w:val="hybridMultilevel"/>
    <w:tmpl w:val="D598C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A9223B"/>
    <w:multiLevelType w:val="hybridMultilevel"/>
    <w:tmpl w:val="805CEA4E"/>
    <w:lvl w:ilvl="0" w:tplc="C6289B7C">
      <w:start w:val="1"/>
      <w:numFmt w:val="lowerLetter"/>
      <w:lvlText w:val="%1."/>
      <w:lvlJc w:val="left"/>
      <w:pPr>
        <w:ind w:left="1440" w:hanging="360"/>
      </w:pPr>
      <w:rPr>
        <w:rFonts w:ascii="Times New Roman" w:eastAsia="Times New Roman" w:hAnsi="Times New Roman" w:cs="Times New Roman"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B7950F7"/>
    <w:multiLevelType w:val="hybridMultilevel"/>
    <w:tmpl w:val="A2E0E38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C1B0E8D"/>
    <w:multiLevelType w:val="hybridMultilevel"/>
    <w:tmpl w:val="2D2C6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3E46D0"/>
    <w:multiLevelType w:val="hybridMultilevel"/>
    <w:tmpl w:val="5F768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C62799"/>
    <w:multiLevelType w:val="hybridMultilevel"/>
    <w:tmpl w:val="791824D0"/>
    <w:lvl w:ilvl="0" w:tplc="82768F96">
      <w:start w:val="1"/>
      <w:numFmt w:val="lowerLetter"/>
      <w:lvlText w:val="%1."/>
      <w:lvlJc w:val="left"/>
      <w:pPr>
        <w:ind w:left="1800" w:hanging="360"/>
      </w:pPr>
      <w:rPr>
        <w:sz w:val="24"/>
        <w:szCs w:val="24"/>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3D20B4C"/>
    <w:multiLevelType w:val="hybridMultilevel"/>
    <w:tmpl w:val="191A80A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ABF413B"/>
    <w:multiLevelType w:val="hybridMultilevel"/>
    <w:tmpl w:val="58622A0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ACD5542"/>
    <w:multiLevelType w:val="multilevel"/>
    <w:tmpl w:val="26D89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3"/>
  </w:num>
  <w:num w:numId="3">
    <w:abstractNumId w:val="21"/>
  </w:num>
  <w:num w:numId="4">
    <w:abstractNumId w:val="17"/>
  </w:num>
  <w:num w:numId="5">
    <w:abstractNumId w:val="11"/>
  </w:num>
  <w:num w:numId="6">
    <w:abstractNumId w:val="19"/>
  </w:num>
  <w:num w:numId="7">
    <w:abstractNumId w:val="27"/>
  </w:num>
  <w:num w:numId="8">
    <w:abstractNumId w:val="9"/>
  </w:num>
  <w:num w:numId="9">
    <w:abstractNumId w:val="16"/>
  </w:num>
  <w:num w:numId="10">
    <w:abstractNumId w:val="12"/>
  </w:num>
  <w:num w:numId="11">
    <w:abstractNumId w:val="25"/>
  </w:num>
  <w:num w:numId="12">
    <w:abstractNumId w:val="22"/>
  </w:num>
  <w:num w:numId="13">
    <w:abstractNumId w:val="30"/>
  </w:num>
  <w:num w:numId="14">
    <w:abstractNumId w:val="35"/>
  </w:num>
  <w:num w:numId="15">
    <w:abstractNumId w:val="14"/>
  </w:num>
  <w:num w:numId="16">
    <w:abstractNumId w:val="22"/>
  </w:num>
  <w:num w:numId="17">
    <w:abstractNumId w:val="18"/>
  </w:num>
  <w:num w:numId="18">
    <w:abstractNumId w:val="18"/>
  </w:num>
  <w:num w:numId="19">
    <w:abstractNumId w:val="10"/>
  </w:num>
  <w:num w:numId="20">
    <w:abstractNumId w:val="31"/>
  </w:num>
  <w:num w:numId="21">
    <w:abstractNumId w:val="26"/>
  </w:num>
  <w:num w:numId="22">
    <w:abstractNumId w:val="33"/>
  </w:num>
  <w:num w:numId="23">
    <w:abstractNumId w:val="7"/>
  </w:num>
  <w:num w:numId="24">
    <w:abstractNumId w:val="5"/>
  </w:num>
  <w:num w:numId="25">
    <w:abstractNumId w:val="1"/>
  </w:num>
  <w:num w:numId="26">
    <w:abstractNumId w:val="24"/>
  </w:num>
  <w:num w:numId="27">
    <w:abstractNumId w:val="29"/>
  </w:num>
  <w:num w:numId="28">
    <w:abstractNumId w:val="13"/>
  </w:num>
  <w:num w:numId="29">
    <w:abstractNumId w:val="34"/>
  </w:num>
  <w:num w:numId="30">
    <w:abstractNumId w:val="15"/>
  </w:num>
  <w:num w:numId="31">
    <w:abstractNumId w:val="32"/>
  </w:num>
  <w:num w:numId="32">
    <w:abstractNumId w:val="8"/>
  </w:num>
  <w:num w:numId="33">
    <w:abstractNumId w:val="2"/>
  </w:num>
  <w:num w:numId="34">
    <w:abstractNumId w:val="28"/>
  </w:num>
  <w:num w:numId="35">
    <w:abstractNumId w:val="0"/>
  </w:num>
  <w:num w:numId="36">
    <w:abstractNumId w:val="23"/>
  </w:num>
  <w:num w:numId="37">
    <w:abstractNumId w:val="6"/>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DAE"/>
    <w:rsid w:val="00000860"/>
    <w:rsid w:val="00000B42"/>
    <w:rsid w:val="00012CB4"/>
    <w:rsid w:val="00014016"/>
    <w:rsid w:val="0001464D"/>
    <w:rsid w:val="00014D5E"/>
    <w:rsid w:val="00016205"/>
    <w:rsid w:val="00017327"/>
    <w:rsid w:val="000212E2"/>
    <w:rsid w:val="000219D1"/>
    <w:rsid w:val="000227B6"/>
    <w:rsid w:val="00024AF5"/>
    <w:rsid w:val="00025CCD"/>
    <w:rsid w:val="000262E2"/>
    <w:rsid w:val="00026335"/>
    <w:rsid w:val="00026749"/>
    <w:rsid w:val="00026EEA"/>
    <w:rsid w:val="000323C7"/>
    <w:rsid w:val="00032B3F"/>
    <w:rsid w:val="00033321"/>
    <w:rsid w:val="0003338E"/>
    <w:rsid w:val="000344AE"/>
    <w:rsid w:val="00034B96"/>
    <w:rsid w:val="00035337"/>
    <w:rsid w:val="000362AF"/>
    <w:rsid w:val="000365B8"/>
    <w:rsid w:val="000370C5"/>
    <w:rsid w:val="0004177B"/>
    <w:rsid w:val="000418F2"/>
    <w:rsid w:val="000431E5"/>
    <w:rsid w:val="00043DE8"/>
    <w:rsid w:val="000459BC"/>
    <w:rsid w:val="00047087"/>
    <w:rsid w:val="000476CF"/>
    <w:rsid w:val="0004799C"/>
    <w:rsid w:val="00052A6B"/>
    <w:rsid w:val="00052C2A"/>
    <w:rsid w:val="000560AC"/>
    <w:rsid w:val="00056842"/>
    <w:rsid w:val="00056DA0"/>
    <w:rsid w:val="00066795"/>
    <w:rsid w:val="000747C0"/>
    <w:rsid w:val="0007771B"/>
    <w:rsid w:val="00080C7A"/>
    <w:rsid w:val="000820FA"/>
    <w:rsid w:val="00086E3F"/>
    <w:rsid w:val="000910C8"/>
    <w:rsid w:val="00092C03"/>
    <w:rsid w:val="00092CA4"/>
    <w:rsid w:val="00096068"/>
    <w:rsid w:val="00096389"/>
    <w:rsid w:val="00096525"/>
    <w:rsid w:val="00096848"/>
    <w:rsid w:val="000A0B9C"/>
    <w:rsid w:val="000A178C"/>
    <w:rsid w:val="000A4742"/>
    <w:rsid w:val="000A4E66"/>
    <w:rsid w:val="000A7C9C"/>
    <w:rsid w:val="000B055F"/>
    <w:rsid w:val="000B2DA2"/>
    <w:rsid w:val="000B51D0"/>
    <w:rsid w:val="000B5C5B"/>
    <w:rsid w:val="000B7B87"/>
    <w:rsid w:val="000C2414"/>
    <w:rsid w:val="000C263A"/>
    <w:rsid w:val="000C56F8"/>
    <w:rsid w:val="000D12C6"/>
    <w:rsid w:val="000D1784"/>
    <w:rsid w:val="000D21A2"/>
    <w:rsid w:val="000D29EE"/>
    <w:rsid w:val="000D5A67"/>
    <w:rsid w:val="000D60D7"/>
    <w:rsid w:val="000D67C8"/>
    <w:rsid w:val="000E163E"/>
    <w:rsid w:val="000E2265"/>
    <w:rsid w:val="000E403B"/>
    <w:rsid w:val="000E50E6"/>
    <w:rsid w:val="000F0CB6"/>
    <w:rsid w:val="000F2B4A"/>
    <w:rsid w:val="000F34F1"/>
    <w:rsid w:val="00104BD5"/>
    <w:rsid w:val="00106A1C"/>
    <w:rsid w:val="0010757C"/>
    <w:rsid w:val="00107BB8"/>
    <w:rsid w:val="00111F07"/>
    <w:rsid w:val="0011326E"/>
    <w:rsid w:val="001132EB"/>
    <w:rsid w:val="0011434F"/>
    <w:rsid w:val="00114430"/>
    <w:rsid w:val="0012002F"/>
    <w:rsid w:val="0012093A"/>
    <w:rsid w:val="00123AF0"/>
    <w:rsid w:val="001251BA"/>
    <w:rsid w:val="001259DF"/>
    <w:rsid w:val="00126A34"/>
    <w:rsid w:val="00126AEC"/>
    <w:rsid w:val="001276CB"/>
    <w:rsid w:val="00131B6B"/>
    <w:rsid w:val="001322D7"/>
    <w:rsid w:val="0013343F"/>
    <w:rsid w:val="001336C7"/>
    <w:rsid w:val="0014013F"/>
    <w:rsid w:val="001501A1"/>
    <w:rsid w:val="001526D3"/>
    <w:rsid w:val="001529AD"/>
    <w:rsid w:val="001541DC"/>
    <w:rsid w:val="00157B26"/>
    <w:rsid w:val="00160115"/>
    <w:rsid w:val="00160A22"/>
    <w:rsid w:val="00160CC1"/>
    <w:rsid w:val="00161541"/>
    <w:rsid w:val="00162220"/>
    <w:rsid w:val="00163047"/>
    <w:rsid w:val="00164A1C"/>
    <w:rsid w:val="00164D1F"/>
    <w:rsid w:val="001659F1"/>
    <w:rsid w:val="00165B13"/>
    <w:rsid w:val="00167D36"/>
    <w:rsid w:val="00174606"/>
    <w:rsid w:val="001757D7"/>
    <w:rsid w:val="00176F94"/>
    <w:rsid w:val="001803B5"/>
    <w:rsid w:val="00180B83"/>
    <w:rsid w:val="00180CA5"/>
    <w:rsid w:val="0018137D"/>
    <w:rsid w:val="00183426"/>
    <w:rsid w:val="00184DB3"/>
    <w:rsid w:val="00187CBF"/>
    <w:rsid w:val="00191AAF"/>
    <w:rsid w:val="00193AE7"/>
    <w:rsid w:val="00195BCD"/>
    <w:rsid w:val="00196950"/>
    <w:rsid w:val="0019732F"/>
    <w:rsid w:val="00197C9E"/>
    <w:rsid w:val="001A215A"/>
    <w:rsid w:val="001A3700"/>
    <w:rsid w:val="001A4B21"/>
    <w:rsid w:val="001A7B8F"/>
    <w:rsid w:val="001B2BAC"/>
    <w:rsid w:val="001B3DB1"/>
    <w:rsid w:val="001B5A96"/>
    <w:rsid w:val="001C1A01"/>
    <w:rsid w:val="001C2632"/>
    <w:rsid w:val="001C5D3A"/>
    <w:rsid w:val="001C6B66"/>
    <w:rsid w:val="001C7519"/>
    <w:rsid w:val="001D10CF"/>
    <w:rsid w:val="001D28DF"/>
    <w:rsid w:val="001D3581"/>
    <w:rsid w:val="001D4780"/>
    <w:rsid w:val="001E0C02"/>
    <w:rsid w:val="001E189A"/>
    <w:rsid w:val="001E1B2F"/>
    <w:rsid w:val="001E4E80"/>
    <w:rsid w:val="001E6211"/>
    <w:rsid w:val="001E6D57"/>
    <w:rsid w:val="001E6E1A"/>
    <w:rsid w:val="001E7AC3"/>
    <w:rsid w:val="001F0BF5"/>
    <w:rsid w:val="001F20A9"/>
    <w:rsid w:val="001F2330"/>
    <w:rsid w:val="001F67D2"/>
    <w:rsid w:val="00201157"/>
    <w:rsid w:val="0020177D"/>
    <w:rsid w:val="00201F99"/>
    <w:rsid w:val="0020220E"/>
    <w:rsid w:val="00202328"/>
    <w:rsid w:val="002104CC"/>
    <w:rsid w:val="00216274"/>
    <w:rsid w:val="00217A38"/>
    <w:rsid w:val="00222FB2"/>
    <w:rsid w:val="0022339F"/>
    <w:rsid w:val="002251CB"/>
    <w:rsid w:val="0022698E"/>
    <w:rsid w:val="00230AB5"/>
    <w:rsid w:val="002335CB"/>
    <w:rsid w:val="0024149A"/>
    <w:rsid w:val="00241657"/>
    <w:rsid w:val="00243200"/>
    <w:rsid w:val="002463C6"/>
    <w:rsid w:val="00246829"/>
    <w:rsid w:val="0024688F"/>
    <w:rsid w:val="00251747"/>
    <w:rsid w:val="002530FE"/>
    <w:rsid w:val="002539D2"/>
    <w:rsid w:val="00261D4D"/>
    <w:rsid w:val="00267888"/>
    <w:rsid w:val="00267A25"/>
    <w:rsid w:val="00272AF0"/>
    <w:rsid w:val="00274986"/>
    <w:rsid w:val="00282424"/>
    <w:rsid w:val="002826D9"/>
    <w:rsid w:val="0028343E"/>
    <w:rsid w:val="002876A3"/>
    <w:rsid w:val="00290A9A"/>
    <w:rsid w:val="00291576"/>
    <w:rsid w:val="00292CAF"/>
    <w:rsid w:val="00293F67"/>
    <w:rsid w:val="00294A2B"/>
    <w:rsid w:val="00294B75"/>
    <w:rsid w:val="00294DD7"/>
    <w:rsid w:val="00295A86"/>
    <w:rsid w:val="00295D70"/>
    <w:rsid w:val="00295DBB"/>
    <w:rsid w:val="00297E8D"/>
    <w:rsid w:val="002A0BFA"/>
    <w:rsid w:val="002A29EF"/>
    <w:rsid w:val="002B0820"/>
    <w:rsid w:val="002B48F9"/>
    <w:rsid w:val="002B4A8F"/>
    <w:rsid w:val="002B57A6"/>
    <w:rsid w:val="002B587D"/>
    <w:rsid w:val="002B6FF7"/>
    <w:rsid w:val="002B7DE2"/>
    <w:rsid w:val="002C0212"/>
    <w:rsid w:val="002C1001"/>
    <w:rsid w:val="002D02D9"/>
    <w:rsid w:val="002D0F9B"/>
    <w:rsid w:val="002D2256"/>
    <w:rsid w:val="002D2FBD"/>
    <w:rsid w:val="002E01D6"/>
    <w:rsid w:val="002E1044"/>
    <w:rsid w:val="002E2192"/>
    <w:rsid w:val="002E7C98"/>
    <w:rsid w:val="002F3BAB"/>
    <w:rsid w:val="002F4846"/>
    <w:rsid w:val="002F5139"/>
    <w:rsid w:val="002F67B9"/>
    <w:rsid w:val="002F7D28"/>
    <w:rsid w:val="00301DAA"/>
    <w:rsid w:val="00302438"/>
    <w:rsid w:val="00302C7E"/>
    <w:rsid w:val="0030300F"/>
    <w:rsid w:val="00313453"/>
    <w:rsid w:val="00313A09"/>
    <w:rsid w:val="00314935"/>
    <w:rsid w:val="00316314"/>
    <w:rsid w:val="00316820"/>
    <w:rsid w:val="0031767C"/>
    <w:rsid w:val="00317A6F"/>
    <w:rsid w:val="00320118"/>
    <w:rsid w:val="0032220B"/>
    <w:rsid w:val="00322262"/>
    <w:rsid w:val="003258D2"/>
    <w:rsid w:val="00327CAE"/>
    <w:rsid w:val="00331088"/>
    <w:rsid w:val="00331CE3"/>
    <w:rsid w:val="00332318"/>
    <w:rsid w:val="003339F6"/>
    <w:rsid w:val="00334402"/>
    <w:rsid w:val="003345D7"/>
    <w:rsid w:val="003369FF"/>
    <w:rsid w:val="00336ED2"/>
    <w:rsid w:val="00340D18"/>
    <w:rsid w:val="00343217"/>
    <w:rsid w:val="003437E6"/>
    <w:rsid w:val="0034681E"/>
    <w:rsid w:val="003469CD"/>
    <w:rsid w:val="00346C61"/>
    <w:rsid w:val="00352578"/>
    <w:rsid w:val="00353D7B"/>
    <w:rsid w:val="0035598A"/>
    <w:rsid w:val="00360D10"/>
    <w:rsid w:val="00360DFB"/>
    <w:rsid w:val="00361044"/>
    <w:rsid w:val="00361763"/>
    <w:rsid w:val="00361A67"/>
    <w:rsid w:val="0036449D"/>
    <w:rsid w:val="0037190B"/>
    <w:rsid w:val="0037373C"/>
    <w:rsid w:val="00374571"/>
    <w:rsid w:val="00374989"/>
    <w:rsid w:val="003754B9"/>
    <w:rsid w:val="00381B2F"/>
    <w:rsid w:val="00382075"/>
    <w:rsid w:val="003836A6"/>
    <w:rsid w:val="00383FF7"/>
    <w:rsid w:val="003841DC"/>
    <w:rsid w:val="00385F40"/>
    <w:rsid w:val="0038717B"/>
    <w:rsid w:val="00387FC3"/>
    <w:rsid w:val="00390BD4"/>
    <w:rsid w:val="00392139"/>
    <w:rsid w:val="003925F1"/>
    <w:rsid w:val="003927CC"/>
    <w:rsid w:val="00392F28"/>
    <w:rsid w:val="00396BB1"/>
    <w:rsid w:val="003A1176"/>
    <w:rsid w:val="003A20F0"/>
    <w:rsid w:val="003A4C75"/>
    <w:rsid w:val="003B40B2"/>
    <w:rsid w:val="003B44D1"/>
    <w:rsid w:val="003B537F"/>
    <w:rsid w:val="003B54CF"/>
    <w:rsid w:val="003B7CD2"/>
    <w:rsid w:val="003B7EDD"/>
    <w:rsid w:val="003C030C"/>
    <w:rsid w:val="003C0EDD"/>
    <w:rsid w:val="003C5856"/>
    <w:rsid w:val="003D00FF"/>
    <w:rsid w:val="003D099C"/>
    <w:rsid w:val="003D2505"/>
    <w:rsid w:val="003D3548"/>
    <w:rsid w:val="003D48B5"/>
    <w:rsid w:val="003D616B"/>
    <w:rsid w:val="003D6815"/>
    <w:rsid w:val="003E2500"/>
    <w:rsid w:val="003E4602"/>
    <w:rsid w:val="003E61C4"/>
    <w:rsid w:val="003E701D"/>
    <w:rsid w:val="003F2022"/>
    <w:rsid w:val="003F3A4C"/>
    <w:rsid w:val="003F5368"/>
    <w:rsid w:val="00400265"/>
    <w:rsid w:val="00402C47"/>
    <w:rsid w:val="00404DAE"/>
    <w:rsid w:val="00410429"/>
    <w:rsid w:val="0041084A"/>
    <w:rsid w:val="004109C3"/>
    <w:rsid w:val="00411104"/>
    <w:rsid w:val="004119D9"/>
    <w:rsid w:val="004137A2"/>
    <w:rsid w:val="00413B4E"/>
    <w:rsid w:val="00414361"/>
    <w:rsid w:val="00414AD9"/>
    <w:rsid w:val="004160CD"/>
    <w:rsid w:val="00420DFD"/>
    <w:rsid w:val="00422636"/>
    <w:rsid w:val="00423963"/>
    <w:rsid w:val="00425699"/>
    <w:rsid w:val="004266AD"/>
    <w:rsid w:val="0043335D"/>
    <w:rsid w:val="00434B47"/>
    <w:rsid w:val="00442219"/>
    <w:rsid w:val="00443347"/>
    <w:rsid w:val="00444B84"/>
    <w:rsid w:val="0044684C"/>
    <w:rsid w:val="004468A5"/>
    <w:rsid w:val="00447ED2"/>
    <w:rsid w:val="004506C8"/>
    <w:rsid w:val="00452783"/>
    <w:rsid w:val="00454D20"/>
    <w:rsid w:val="0045536C"/>
    <w:rsid w:val="00455D3B"/>
    <w:rsid w:val="00457862"/>
    <w:rsid w:val="00461128"/>
    <w:rsid w:val="004618F4"/>
    <w:rsid w:val="004631D9"/>
    <w:rsid w:val="004647CF"/>
    <w:rsid w:val="00470AA1"/>
    <w:rsid w:val="00472B65"/>
    <w:rsid w:val="00476442"/>
    <w:rsid w:val="00476464"/>
    <w:rsid w:val="004764A3"/>
    <w:rsid w:val="00480B8C"/>
    <w:rsid w:val="00481A17"/>
    <w:rsid w:val="004831D9"/>
    <w:rsid w:val="0048369E"/>
    <w:rsid w:val="00484BC5"/>
    <w:rsid w:val="004861BF"/>
    <w:rsid w:val="004867A7"/>
    <w:rsid w:val="00490967"/>
    <w:rsid w:val="00491828"/>
    <w:rsid w:val="004923F4"/>
    <w:rsid w:val="004949CB"/>
    <w:rsid w:val="00494CD2"/>
    <w:rsid w:val="00494EEE"/>
    <w:rsid w:val="004963EA"/>
    <w:rsid w:val="0049791F"/>
    <w:rsid w:val="004A20DC"/>
    <w:rsid w:val="004A6C18"/>
    <w:rsid w:val="004B6413"/>
    <w:rsid w:val="004B67B3"/>
    <w:rsid w:val="004C2328"/>
    <w:rsid w:val="004C2FDA"/>
    <w:rsid w:val="004C424A"/>
    <w:rsid w:val="004C63FA"/>
    <w:rsid w:val="004C6BB8"/>
    <w:rsid w:val="004C6D05"/>
    <w:rsid w:val="004E0256"/>
    <w:rsid w:val="004E0F29"/>
    <w:rsid w:val="004E1978"/>
    <w:rsid w:val="004E1CB9"/>
    <w:rsid w:val="004E3693"/>
    <w:rsid w:val="004E5315"/>
    <w:rsid w:val="004F01F3"/>
    <w:rsid w:val="004F12DC"/>
    <w:rsid w:val="0050021E"/>
    <w:rsid w:val="00501AF0"/>
    <w:rsid w:val="005020FA"/>
    <w:rsid w:val="005023C8"/>
    <w:rsid w:val="00504B3F"/>
    <w:rsid w:val="00505C56"/>
    <w:rsid w:val="005072EA"/>
    <w:rsid w:val="00510968"/>
    <w:rsid w:val="00511FEE"/>
    <w:rsid w:val="0051232A"/>
    <w:rsid w:val="00512A11"/>
    <w:rsid w:val="00512B41"/>
    <w:rsid w:val="0051376D"/>
    <w:rsid w:val="00517374"/>
    <w:rsid w:val="00521553"/>
    <w:rsid w:val="0052245B"/>
    <w:rsid w:val="00525672"/>
    <w:rsid w:val="00531111"/>
    <w:rsid w:val="005335CC"/>
    <w:rsid w:val="00533BEC"/>
    <w:rsid w:val="00533CCD"/>
    <w:rsid w:val="00536FB7"/>
    <w:rsid w:val="00540EC4"/>
    <w:rsid w:val="00541996"/>
    <w:rsid w:val="00542402"/>
    <w:rsid w:val="0054506A"/>
    <w:rsid w:val="005477B4"/>
    <w:rsid w:val="005511E9"/>
    <w:rsid w:val="005530C4"/>
    <w:rsid w:val="00554A51"/>
    <w:rsid w:val="00554C82"/>
    <w:rsid w:val="005562AA"/>
    <w:rsid w:val="0055684E"/>
    <w:rsid w:val="00561EB1"/>
    <w:rsid w:val="00564200"/>
    <w:rsid w:val="00564753"/>
    <w:rsid w:val="00564E2D"/>
    <w:rsid w:val="00566783"/>
    <w:rsid w:val="0056788B"/>
    <w:rsid w:val="00567E87"/>
    <w:rsid w:val="00567EAB"/>
    <w:rsid w:val="00576F8A"/>
    <w:rsid w:val="0058003D"/>
    <w:rsid w:val="00581748"/>
    <w:rsid w:val="00583E99"/>
    <w:rsid w:val="005848CA"/>
    <w:rsid w:val="0058635C"/>
    <w:rsid w:val="0058640D"/>
    <w:rsid w:val="00591122"/>
    <w:rsid w:val="0059289E"/>
    <w:rsid w:val="00595A6F"/>
    <w:rsid w:val="00595A99"/>
    <w:rsid w:val="005967EA"/>
    <w:rsid w:val="005970E1"/>
    <w:rsid w:val="005A5EE7"/>
    <w:rsid w:val="005A6A45"/>
    <w:rsid w:val="005A74D9"/>
    <w:rsid w:val="005A7702"/>
    <w:rsid w:val="005A780B"/>
    <w:rsid w:val="005A7F98"/>
    <w:rsid w:val="005B413C"/>
    <w:rsid w:val="005B4B2E"/>
    <w:rsid w:val="005B564F"/>
    <w:rsid w:val="005B5FD9"/>
    <w:rsid w:val="005B7125"/>
    <w:rsid w:val="005B7442"/>
    <w:rsid w:val="005C4DF5"/>
    <w:rsid w:val="005C610F"/>
    <w:rsid w:val="005C77C6"/>
    <w:rsid w:val="005D01E5"/>
    <w:rsid w:val="005D2080"/>
    <w:rsid w:val="005D21AA"/>
    <w:rsid w:val="005D315C"/>
    <w:rsid w:val="005D36E5"/>
    <w:rsid w:val="005D6716"/>
    <w:rsid w:val="005E0396"/>
    <w:rsid w:val="005E1F41"/>
    <w:rsid w:val="005E1F86"/>
    <w:rsid w:val="005E3365"/>
    <w:rsid w:val="005E725D"/>
    <w:rsid w:val="005E7503"/>
    <w:rsid w:val="005E7B1B"/>
    <w:rsid w:val="005F1722"/>
    <w:rsid w:val="005F66FC"/>
    <w:rsid w:val="005F67BF"/>
    <w:rsid w:val="00600234"/>
    <w:rsid w:val="00602105"/>
    <w:rsid w:val="006021F1"/>
    <w:rsid w:val="00606C4F"/>
    <w:rsid w:val="006073DB"/>
    <w:rsid w:val="006105F9"/>
    <w:rsid w:val="006109BB"/>
    <w:rsid w:val="00610B38"/>
    <w:rsid w:val="00614282"/>
    <w:rsid w:val="00615744"/>
    <w:rsid w:val="0062012D"/>
    <w:rsid w:val="006239F8"/>
    <w:rsid w:val="006239FC"/>
    <w:rsid w:val="00626742"/>
    <w:rsid w:val="00630D64"/>
    <w:rsid w:val="00631175"/>
    <w:rsid w:val="00631720"/>
    <w:rsid w:val="00631CF3"/>
    <w:rsid w:val="00632685"/>
    <w:rsid w:val="006332A5"/>
    <w:rsid w:val="00640754"/>
    <w:rsid w:val="00640CCF"/>
    <w:rsid w:val="00641ACA"/>
    <w:rsid w:val="00641CE5"/>
    <w:rsid w:val="00642B61"/>
    <w:rsid w:val="00642FA7"/>
    <w:rsid w:val="00644A6E"/>
    <w:rsid w:val="006473AD"/>
    <w:rsid w:val="00650543"/>
    <w:rsid w:val="00650767"/>
    <w:rsid w:val="006528D7"/>
    <w:rsid w:val="0065397A"/>
    <w:rsid w:val="00653F09"/>
    <w:rsid w:val="00655C1B"/>
    <w:rsid w:val="00655E68"/>
    <w:rsid w:val="00660C9C"/>
    <w:rsid w:val="006729E2"/>
    <w:rsid w:val="00673431"/>
    <w:rsid w:val="00675741"/>
    <w:rsid w:val="00676056"/>
    <w:rsid w:val="006764A4"/>
    <w:rsid w:val="006836C1"/>
    <w:rsid w:val="00683D2C"/>
    <w:rsid w:val="006840D6"/>
    <w:rsid w:val="0068497A"/>
    <w:rsid w:val="00685508"/>
    <w:rsid w:val="00685EDB"/>
    <w:rsid w:val="00691B1C"/>
    <w:rsid w:val="00692115"/>
    <w:rsid w:val="0069217B"/>
    <w:rsid w:val="006940F5"/>
    <w:rsid w:val="00697706"/>
    <w:rsid w:val="00697959"/>
    <w:rsid w:val="006A0B0D"/>
    <w:rsid w:val="006A109E"/>
    <w:rsid w:val="006A200C"/>
    <w:rsid w:val="006A303E"/>
    <w:rsid w:val="006A38F6"/>
    <w:rsid w:val="006A39FD"/>
    <w:rsid w:val="006A4F6B"/>
    <w:rsid w:val="006A7295"/>
    <w:rsid w:val="006A729A"/>
    <w:rsid w:val="006A76DD"/>
    <w:rsid w:val="006A7ED4"/>
    <w:rsid w:val="006B140D"/>
    <w:rsid w:val="006B31D4"/>
    <w:rsid w:val="006B457D"/>
    <w:rsid w:val="006B5BE9"/>
    <w:rsid w:val="006B6DDF"/>
    <w:rsid w:val="006C1DCF"/>
    <w:rsid w:val="006C23F9"/>
    <w:rsid w:val="006C2E61"/>
    <w:rsid w:val="006C75B0"/>
    <w:rsid w:val="006C76DB"/>
    <w:rsid w:val="006D1DFC"/>
    <w:rsid w:val="006D2137"/>
    <w:rsid w:val="006D2329"/>
    <w:rsid w:val="006D54E7"/>
    <w:rsid w:val="006D5E95"/>
    <w:rsid w:val="006D650E"/>
    <w:rsid w:val="006E0282"/>
    <w:rsid w:val="006E067B"/>
    <w:rsid w:val="006E21ED"/>
    <w:rsid w:val="006F080D"/>
    <w:rsid w:val="006F2F9E"/>
    <w:rsid w:val="006F4921"/>
    <w:rsid w:val="006F6DB8"/>
    <w:rsid w:val="006F7FD0"/>
    <w:rsid w:val="00701B5C"/>
    <w:rsid w:val="0070343F"/>
    <w:rsid w:val="00706785"/>
    <w:rsid w:val="0070750B"/>
    <w:rsid w:val="0071095B"/>
    <w:rsid w:val="00711372"/>
    <w:rsid w:val="00711D75"/>
    <w:rsid w:val="00714E82"/>
    <w:rsid w:val="00716022"/>
    <w:rsid w:val="0072186D"/>
    <w:rsid w:val="00721FE6"/>
    <w:rsid w:val="007241E8"/>
    <w:rsid w:val="00724969"/>
    <w:rsid w:val="00725900"/>
    <w:rsid w:val="0072747B"/>
    <w:rsid w:val="00732C35"/>
    <w:rsid w:val="0073334E"/>
    <w:rsid w:val="007338CE"/>
    <w:rsid w:val="00745318"/>
    <w:rsid w:val="007456D9"/>
    <w:rsid w:val="0075062A"/>
    <w:rsid w:val="00750E5C"/>
    <w:rsid w:val="007537B2"/>
    <w:rsid w:val="0075490B"/>
    <w:rsid w:val="00761872"/>
    <w:rsid w:val="00763BD0"/>
    <w:rsid w:val="00763C92"/>
    <w:rsid w:val="00764B08"/>
    <w:rsid w:val="00765D40"/>
    <w:rsid w:val="00766699"/>
    <w:rsid w:val="007667A9"/>
    <w:rsid w:val="00766A2C"/>
    <w:rsid w:val="00767829"/>
    <w:rsid w:val="00773916"/>
    <w:rsid w:val="00775A8C"/>
    <w:rsid w:val="00775C16"/>
    <w:rsid w:val="00776EA9"/>
    <w:rsid w:val="00776FC9"/>
    <w:rsid w:val="00781AF5"/>
    <w:rsid w:val="00785AA9"/>
    <w:rsid w:val="00786B85"/>
    <w:rsid w:val="00791742"/>
    <w:rsid w:val="00793F1B"/>
    <w:rsid w:val="00794422"/>
    <w:rsid w:val="00797A38"/>
    <w:rsid w:val="007A1649"/>
    <w:rsid w:val="007A1AC5"/>
    <w:rsid w:val="007A1F8A"/>
    <w:rsid w:val="007A2997"/>
    <w:rsid w:val="007A2D16"/>
    <w:rsid w:val="007A4FC9"/>
    <w:rsid w:val="007A5244"/>
    <w:rsid w:val="007B043C"/>
    <w:rsid w:val="007B0EBE"/>
    <w:rsid w:val="007B0F4E"/>
    <w:rsid w:val="007B56AC"/>
    <w:rsid w:val="007B5744"/>
    <w:rsid w:val="007B73B9"/>
    <w:rsid w:val="007B7CDB"/>
    <w:rsid w:val="007C06F5"/>
    <w:rsid w:val="007C4C9F"/>
    <w:rsid w:val="007C51BE"/>
    <w:rsid w:val="007C5A69"/>
    <w:rsid w:val="007C5B4C"/>
    <w:rsid w:val="007C5FB7"/>
    <w:rsid w:val="007C6F7F"/>
    <w:rsid w:val="007C7F46"/>
    <w:rsid w:val="007D0C38"/>
    <w:rsid w:val="007D0E6F"/>
    <w:rsid w:val="007D20B4"/>
    <w:rsid w:val="007D3066"/>
    <w:rsid w:val="007D3F5B"/>
    <w:rsid w:val="007D400A"/>
    <w:rsid w:val="007D4335"/>
    <w:rsid w:val="007D740E"/>
    <w:rsid w:val="007D758B"/>
    <w:rsid w:val="007D77A9"/>
    <w:rsid w:val="007E01DE"/>
    <w:rsid w:val="007E2943"/>
    <w:rsid w:val="007F1467"/>
    <w:rsid w:val="007F1FBC"/>
    <w:rsid w:val="007F2A03"/>
    <w:rsid w:val="007F43CF"/>
    <w:rsid w:val="007F4A34"/>
    <w:rsid w:val="007F7891"/>
    <w:rsid w:val="00801696"/>
    <w:rsid w:val="00803ED6"/>
    <w:rsid w:val="0080602D"/>
    <w:rsid w:val="00806153"/>
    <w:rsid w:val="00807847"/>
    <w:rsid w:val="00811197"/>
    <w:rsid w:val="00811905"/>
    <w:rsid w:val="008143D0"/>
    <w:rsid w:val="00814AC7"/>
    <w:rsid w:val="00814D36"/>
    <w:rsid w:val="0081772F"/>
    <w:rsid w:val="00821815"/>
    <w:rsid w:val="008220A5"/>
    <w:rsid w:val="00822FF1"/>
    <w:rsid w:val="00823D2D"/>
    <w:rsid w:val="00824393"/>
    <w:rsid w:val="00825027"/>
    <w:rsid w:val="00825B1C"/>
    <w:rsid w:val="008307D0"/>
    <w:rsid w:val="00831888"/>
    <w:rsid w:val="0083489F"/>
    <w:rsid w:val="00836F74"/>
    <w:rsid w:val="00843429"/>
    <w:rsid w:val="00844654"/>
    <w:rsid w:val="00844687"/>
    <w:rsid w:val="00845AEE"/>
    <w:rsid w:val="0085014F"/>
    <w:rsid w:val="00850C89"/>
    <w:rsid w:val="0085228C"/>
    <w:rsid w:val="0085592A"/>
    <w:rsid w:val="00857328"/>
    <w:rsid w:val="008604B6"/>
    <w:rsid w:val="00861D30"/>
    <w:rsid w:val="00866775"/>
    <w:rsid w:val="008700DD"/>
    <w:rsid w:val="0087019B"/>
    <w:rsid w:val="00870509"/>
    <w:rsid w:val="008713D7"/>
    <w:rsid w:val="0087341D"/>
    <w:rsid w:val="00875EB1"/>
    <w:rsid w:val="00877336"/>
    <w:rsid w:val="00880884"/>
    <w:rsid w:val="0088322B"/>
    <w:rsid w:val="008864FF"/>
    <w:rsid w:val="00886925"/>
    <w:rsid w:val="00886FD4"/>
    <w:rsid w:val="0089385B"/>
    <w:rsid w:val="00896A71"/>
    <w:rsid w:val="008A1B9F"/>
    <w:rsid w:val="008A5BDA"/>
    <w:rsid w:val="008B01B2"/>
    <w:rsid w:val="008B0D17"/>
    <w:rsid w:val="008B2264"/>
    <w:rsid w:val="008B33AD"/>
    <w:rsid w:val="008B4259"/>
    <w:rsid w:val="008B58F8"/>
    <w:rsid w:val="008B665E"/>
    <w:rsid w:val="008C221B"/>
    <w:rsid w:val="008C2A13"/>
    <w:rsid w:val="008C2F6D"/>
    <w:rsid w:val="008C4373"/>
    <w:rsid w:val="008C6420"/>
    <w:rsid w:val="008C7524"/>
    <w:rsid w:val="008D0B33"/>
    <w:rsid w:val="008D1256"/>
    <w:rsid w:val="008D200F"/>
    <w:rsid w:val="008D21F8"/>
    <w:rsid w:val="008D308B"/>
    <w:rsid w:val="008D33E6"/>
    <w:rsid w:val="008D6C51"/>
    <w:rsid w:val="008E0E5F"/>
    <w:rsid w:val="008E6E03"/>
    <w:rsid w:val="008F1F09"/>
    <w:rsid w:val="008F2D78"/>
    <w:rsid w:val="008F3C40"/>
    <w:rsid w:val="008F7329"/>
    <w:rsid w:val="00900566"/>
    <w:rsid w:val="009021F3"/>
    <w:rsid w:val="00902C03"/>
    <w:rsid w:val="0090336D"/>
    <w:rsid w:val="00906534"/>
    <w:rsid w:val="00911954"/>
    <w:rsid w:val="00915E13"/>
    <w:rsid w:val="00916C80"/>
    <w:rsid w:val="0092115C"/>
    <w:rsid w:val="00921305"/>
    <w:rsid w:val="00925628"/>
    <w:rsid w:val="00925C73"/>
    <w:rsid w:val="00927357"/>
    <w:rsid w:val="00930A77"/>
    <w:rsid w:val="0093166D"/>
    <w:rsid w:val="009317D5"/>
    <w:rsid w:val="0093494E"/>
    <w:rsid w:val="00934D1D"/>
    <w:rsid w:val="009353B9"/>
    <w:rsid w:val="00937456"/>
    <w:rsid w:val="00937A9C"/>
    <w:rsid w:val="0094090F"/>
    <w:rsid w:val="00942A78"/>
    <w:rsid w:val="00943760"/>
    <w:rsid w:val="009456C3"/>
    <w:rsid w:val="009467B2"/>
    <w:rsid w:val="00947EC2"/>
    <w:rsid w:val="00950880"/>
    <w:rsid w:val="00953345"/>
    <w:rsid w:val="00955748"/>
    <w:rsid w:val="00956C51"/>
    <w:rsid w:val="00956FBE"/>
    <w:rsid w:val="009628E4"/>
    <w:rsid w:val="009632A0"/>
    <w:rsid w:val="0096424F"/>
    <w:rsid w:val="009651CD"/>
    <w:rsid w:val="00967889"/>
    <w:rsid w:val="00970BB7"/>
    <w:rsid w:val="00972172"/>
    <w:rsid w:val="00975B35"/>
    <w:rsid w:val="00976312"/>
    <w:rsid w:val="00976E4A"/>
    <w:rsid w:val="00977D16"/>
    <w:rsid w:val="009809DD"/>
    <w:rsid w:val="00982B85"/>
    <w:rsid w:val="00984DE0"/>
    <w:rsid w:val="0098590E"/>
    <w:rsid w:val="009870D0"/>
    <w:rsid w:val="00990C8F"/>
    <w:rsid w:val="00990CB7"/>
    <w:rsid w:val="009938E9"/>
    <w:rsid w:val="0099491D"/>
    <w:rsid w:val="00996CB1"/>
    <w:rsid w:val="00996D9B"/>
    <w:rsid w:val="009A0138"/>
    <w:rsid w:val="009A1064"/>
    <w:rsid w:val="009A25D9"/>
    <w:rsid w:val="009A329B"/>
    <w:rsid w:val="009A3AAF"/>
    <w:rsid w:val="009A3DA8"/>
    <w:rsid w:val="009A6B6E"/>
    <w:rsid w:val="009B006F"/>
    <w:rsid w:val="009B182A"/>
    <w:rsid w:val="009B47CC"/>
    <w:rsid w:val="009B49AF"/>
    <w:rsid w:val="009B5C16"/>
    <w:rsid w:val="009B715B"/>
    <w:rsid w:val="009C1181"/>
    <w:rsid w:val="009C2E19"/>
    <w:rsid w:val="009C3949"/>
    <w:rsid w:val="009C39F4"/>
    <w:rsid w:val="009C73B9"/>
    <w:rsid w:val="009C7F01"/>
    <w:rsid w:val="009D2493"/>
    <w:rsid w:val="009D2962"/>
    <w:rsid w:val="009D320C"/>
    <w:rsid w:val="009D3838"/>
    <w:rsid w:val="009D4CBC"/>
    <w:rsid w:val="009D4EE9"/>
    <w:rsid w:val="009D5282"/>
    <w:rsid w:val="009D6035"/>
    <w:rsid w:val="009E365C"/>
    <w:rsid w:val="009E5B61"/>
    <w:rsid w:val="009F008D"/>
    <w:rsid w:val="009F0154"/>
    <w:rsid w:val="009F40C3"/>
    <w:rsid w:val="009F5CD8"/>
    <w:rsid w:val="00A002D7"/>
    <w:rsid w:val="00A00570"/>
    <w:rsid w:val="00A03C58"/>
    <w:rsid w:val="00A058AA"/>
    <w:rsid w:val="00A06576"/>
    <w:rsid w:val="00A1417B"/>
    <w:rsid w:val="00A1455C"/>
    <w:rsid w:val="00A1603E"/>
    <w:rsid w:val="00A16D24"/>
    <w:rsid w:val="00A21A53"/>
    <w:rsid w:val="00A22CF6"/>
    <w:rsid w:val="00A22D49"/>
    <w:rsid w:val="00A24E64"/>
    <w:rsid w:val="00A270E5"/>
    <w:rsid w:val="00A27C46"/>
    <w:rsid w:val="00A30B15"/>
    <w:rsid w:val="00A3334B"/>
    <w:rsid w:val="00A33889"/>
    <w:rsid w:val="00A33920"/>
    <w:rsid w:val="00A34343"/>
    <w:rsid w:val="00A37F06"/>
    <w:rsid w:val="00A43D75"/>
    <w:rsid w:val="00A45471"/>
    <w:rsid w:val="00A45B7C"/>
    <w:rsid w:val="00A460E5"/>
    <w:rsid w:val="00A4665F"/>
    <w:rsid w:val="00A47205"/>
    <w:rsid w:val="00A472F6"/>
    <w:rsid w:val="00A56640"/>
    <w:rsid w:val="00A61695"/>
    <w:rsid w:val="00A61887"/>
    <w:rsid w:val="00A627A0"/>
    <w:rsid w:val="00A64BA2"/>
    <w:rsid w:val="00A64D9B"/>
    <w:rsid w:val="00A65A6B"/>
    <w:rsid w:val="00A71406"/>
    <w:rsid w:val="00A71A90"/>
    <w:rsid w:val="00A72F82"/>
    <w:rsid w:val="00A74F1B"/>
    <w:rsid w:val="00A75F93"/>
    <w:rsid w:val="00A87CB0"/>
    <w:rsid w:val="00A922D4"/>
    <w:rsid w:val="00A92A78"/>
    <w:rsid w:val="00A93C1A"/>
    <w:rsid w:val="00A94245"/>
    <w:rsid w:val="00A95042"/>
    <w:rsid w:val="00A9592B"/>
    <w:rsid w:val="00A95AA8"/>
    <w:rsid w:val="00A96937"/>
    <w:rsid w:val="00AA207C"/>
    <w:rsid w:val="00AA270E"/>
    <w:rsid w:val="00AA4231"/>
    <w:rsid w:val="00AA487E"/>
    <w:rsid w:val="00AB3305"/>
    <w:rsid w:val="00AC320D"/>
    <w:rsid w:val="00AC3A9B"/>
    <w:rsid w:val="00AC6203"/>
    <w:rsid w:val="00AC6EF7"/>
    <w:rsid w:val="00AD3012"/>
    <w:rsid w:val="00AD6716"/>
    <w:rsid w:val="00AD7AD4"/>
    <w:rsid w:val="00AE0FFF"/>
    <w:rsid w:val="00AE235C"/>
    <w:rsid w:val="00AE4F18"/>
    <w:rsid w:val="00AF0D81"/>
    <w:rsid w:val="00AF21E3"/>
    <w:rsid w:val="00AF36CC"/>
    <w:rsid w:val="00AF538F"/>
    <w:rsid w:val="00AF56DA"/>
    <w:rsid w:val="00AF5DB3"/>
    <w:rsid w:val="00AF7E9E"/>
    <w:rsid w:val="00B0093D"/>
    <w:rsid w:val="00B0145F"/>
    <w:rsid w:val="00B029CD"/>
    <w:rsid w:val="00B02B02"/>
    <w:rsid w:val="00B032E9"/>
    <w:rsid w:val="00B05569"/>
    <w:rsid w:val="00B06406"/>
    <w:rsid w:val="00B11B39"/>
    <w:rsid w:val="00B132E6"/>
    <w:rsid w:val="00B159B5"/>
    <w:rsid w:val="00B15F0C"/>
    <w:rsid w:val="00B21082"/>
    <w:rsid w:val="00B217B5"/>
    <w:rsid w:val="00B2316A"/>
    <w:rsid w:val="00B23B16"/>
    <w:rsid w:val="00B23EE5"/>
    <w:rsid w:val="00B24FA9"/>
    <w:rsid w:val="00B26355"/>
    <w:rsid w:val="00B270FE"/>
    <w:rsid w:val="00B31E2F"/>
    <w:rsid w:val="00B32115"/>
    <w:rsid w:val="00B33037"/>
    <w:rsid w:val="00B341DF"/>
    <w:rsid w:val="00B35DBC"/>
    <w:rsid w:val="00B37729"/>
    <w:rsid w:val="00B44A6F"/>
    <w:rsid w:val="00B46BEE"/>
    <w:rsid w:val="00B50F8F"/>
    <w:rsid w:val="00B50FFB"/>
    <w:rsid w:val="00B520B6"/>
    <w:rsid w:val="00B524AB"/>
    <w:rsid w:val="00B531CF"/>
    <w:rsid w:val="00B53D86"/>
    <w:rsid w:val="00B54101"/>
    <w:rsid w:val="00B5417E"/>
    <w:rsid w:val="00B543E4"/>
    <w:rsid w:val="00B54E56"/>
    <w:rsid w:val="00B5598A"/>
    <w:rsid w:val="00B55AC8"/>
    <w:rsid w:val="00B56145"/>
    <w:rsid w:val="00B6072B"/>
    <w:rsid w:val="00B61BAC"/>
    <w:rsid w:val="00B61C17"/>
    <w:rsid w:val="00B65977"/>
    <w:rsid w:val="00B66975"/>
    <w:rsid w:val="00B6705A"/>
    <w:rsid w:val="00B67C32"/>
    <w:rsid w:val="00B67CA0"/>
    <w:rsid w:val="00B71517"/>
    <w:rsid w:val="00B72205"/>
    <w:rsid w:val="00B725A6"/>
    <w:rsid w:val="00B73D79"/>
    <w:rsid w:val="00B74BF6"/>
    <w:rsid w:val="00B76433"/>
    <w:rsid w:val="00B77566"/>
    <w:rsid w:val="00B806A1"/>
    <w:rsid w:val="00B87797"/>
    <w:rsid w:val="00B92B17"/>
    <w:rsid w:val="00B944B8"/>
    <w:rsid w:val="00B96949"/>
    <w:rsid w:val="00B96F7F"/>
    <w:rsid w:val="00B97600"/>
    <w:rsid w:val="00B97AC9"/>
    <w:rsid w:val="00BA0F0B"/>
    <w:rsid w:val="00BA15F8"/>
    <w:rsid w:val="00BA43BB"/>
    <w:rsid w:val="00BA59B9"/>
    <w:rsid w:val="00BA6692"/>
    <w:rsid w:val="00BB0756"/>
    <w:rsid w:val="00BB0915"/>
    <w:rsid w:val="00BB17D3"/>
    <w:rsid w:val="00BB1AFB"/>
    <w:rsid w:val="00BB3F2D"/>
    <w:rsid w:val="00BB518A"/>
    <w:rsid w:val="00BB583B"/>
    <w:rsid w:val="00BB6CEE"/>
    <w:rsid w:val="00BB6D31"/>
    <w:rsid w:val="00BB6E44"/>
    <w:rsid w:val="00BC2E3B"/>
    <w:rsid w:val="00BC5617"/>
    <w:rsid w:val="00BC593B"/>
    <w:rsid w:val="00BC6339"/>
    <w:rsid w:val="00BC660D"/>
    <w:rsid w:val="00BC6AB8"/>
    <w:rsid w:val="00BD021F"/>
    <w:rsid w:val="00BD31B6"/>
    <w:rsid w:val="00BD440F"/>
    <w:rsid w:val="00BD4A54"/>
    <w:rsid w:val="00BD4DED"/>
    <w:rsid w:val="00BD6904"/>
    <w:rsid w:val="00BE2727"/>
    <w:rsid w:val="00BE29AB"/>
    <w:rsid w:val="00BE42E6"/>
    <w:rsid w:val="00BE6BE8"/>
    <w:rsid w:val="00BE70E4"/>
    <w:rsid w:val="00BF03B9"/>
    <w:rsid w:val="00BF0EA7"/>
    <w:rsid w:val="00BF1735"/>
    <w:rsid w:val="00BF52E6"/>
    <w:rsid w:val="00BF60A6"/>
    <w:rsid w:val="00C00737"/>
    <w:rsid w:val="00C01632"/>
    <w:rsid w:val="00C02899"/>
    <w:rsid w:val="00C05FAF"/>
    <w:rsid w:val="00C067AD"/>
    <w:rsid w:val="00C07E5C"/>
    <w:rsid w:val="00C13A49"/>
    <w:rsid w:val="00C1444D"/>
    <w:rsid w:val="00C1564D"/>
    <w:rsid w:val="00C16013"/>
    <w:rsid w:val="00C161FD"/>
    <w:rsid w:val="00C174DC"/>
    <w:rsid w:val="00C20CA3"/>
    <w:rsid w:val="00C21BC2"/>
    <w:rsid w:val="00C23AAB"/>
    <w:rsid w:val="00C241D6"/>
    <w:rsid w:val="00C24CB4"/>
    <w:rsid w:val="00C24E29"/>
    <w:rsid w:val="00C2579C"/>
    <w:rsid w:val="00C26F12"/>
    <w:rsid w:val="00C27D4C"/>
    <w:rsid w:val="00C303B2"/>
    <w:rsid w:val="00C304ED"/>
    <w:rsid w:val="00C31A4C"/>
    <w:rsid w:val="00C34D18"/>
    <w:rsid w:val="00C443E1"/>
    <w:rsid w:val="00C44ED1"/>
    <w:rsid w:val="00C512BB"/>
    <w:rsid w:val="00C53E57"/>
    <w:rsid w:val="00C547F0"/>
    <w:rsid w:val="00C54AFB"/>
    <w:rsid w:val="00C557D8"/>
    <w:rsid w:val="00C558E2"/>
    <w:rsid w:val="00C5657B"/>
    <w:rsid w:val="00C56A5A"/>
    <w:rsid w:val="00C57FBD"/>
    <w:rsid w:val="00C66148"/>
    <w:rsid w:val="00C707FC"/>
    <w:rsid w:val="00C70CB5"/>
    <w:rsid w:val="00C7175F"/>
    <w:rsid w:val="00C72992"/>
    <w:rsid w:val="00C74BBC"/>
    <w:rsid w:val="00C7524A"/>
    <w:rsid w:val="00C810B4"/>
    <w:rsid w:val="00C81F87"/>
    <w:rsid w:val="00C827C5"/>
    <w:rsid w:val="00C842B1"/>
    <w:rsid w:val="00C91711"/>
    <w:rsid w:val="00C91E51"/>
    <w:rsid w:val="00C9300E"/>
    <w:rsid w:val="00C95908"/>
    <w:rsid w:val="00C968D5"/>
    <w:rsid w:val="00CA085C"/>
    <w:rsid w:val="00CA1C8B"/>
    <w:rsid w:val="00CA59B5"/>
    <w:rsid w:val="00CA6D8F"/>
    <w:rsid w:val="00CA7074"/>
    <w:rsid w:val="00CB1D47"/>
    <w:rsid w:val="00CB26BC"/>
    <w:rsid w:val="00CB713D"/>
    <w:rsid w:val="00CC1B4C"/>
    <w:rsid w:val="00CC1BF2"/>
    <w:rsid w:val="00CC2A28"/>
    <w:rsid w:val="00CC3073"/>
    <w:rsid w:val="00CC44A1"/>
    <w:rsid w:val="00CC4842"/>
    <w:rsid w:val="00CC5686"/>
    <w:rsid w:val="00CC5C32"/>
    <w:rsid w:val="00CD0C8C"/>
    <w:rsid w:val="00CD1DDE"/>
    <w:rsid w:val="00CD3AB2"/>
    <w:rsid w:val="00CD6E75"/>
    <w:rsid w:val="00CD744A"/>
    <w:rsid w:val="00CE2927"/>
    <w:rsid w:val="00CE38A4"/>
    <w:rsid w:val="00CE5C82"/>
    <w:rsid w:val="00CE5D9C"/>
    <w:rsid w:val="00CE61B6"/>
    <w:rsid w:val="00CE6F60"/>
    <w:rsid w:val="00CF152B"/>
    <w:rsid w:val="00CF36A5"/>
    <w:rsid w:val="00CF4834"/>
    <w:rsid w:val="00CF4B03"/>
    <w:rsid w:val="00CF53F4"/>
    <w:rsid w:val="00CF6247"/>
    <w:rsid w:val="00CF7492"/>
    <w:rsid w:val="00D00EE8"/>
    <w:rsid w:val="00D115E5"/>
    <w:rsid w:val="00D119E1"/>
    <w:rsid w:val="00D1205D"/>
    <w:rsid w:val="00D14D12"/>
    <w:rsid w:val="00D15927"/>
    <w:rsid w:val="00D2081C"/>
    <w:rsid w:val="00D23D29"/>
    <w:rsid w:val="00D2542A"/>
    <w:rsid w:val="00D27633"/>
    <w:rsid w:val="00D30AC9"/>
    <w:rsid w:val="00D3104C"/>
    <w:rsid w:val="00D31ED0"/>
    <w:rsid w:val="00D339C0"/>
    <w:rsid w:val="00D34970"/>
    <w:rsid w:val="00D35340"/>
    <w:rsid w:val="00D4004F"/>
    <w:rsid w:val="00D41908"/>
    <w:rsid w:val="00D41E30"/>
    <w:rsid w:val="00D42837"/>
    <w:rsid w:val="00D42B07"/>
    <w:rsid w:val="00D4360C"/>
    <w:rsid w:val="00D43CEF"/>
    <w:rsid w:val="00D44B00"/>
    <w:rsid w:val="00D45DA9"/>
    <w:rsid w:val="00D51868"/>
    <w:rsid w:val="00D52295"/>
    <w:rsid w:val="00D52DBB"/>
    <w:rsid w:val="00D53BF0"/>
    <w:rsid w:val="00D53FEF"/>
    <w:rsid w:val="00D57722"/>
    <w:rsid w:val="00D628A0"/>
    <w:rsid w:val="00D64010"/>
    <w:rsid w:val="00D65570"/>
    <w:rsid w:val="00D65A58"/>
    <w:rsid w:val="00D65C15"/>
    <w:rsid w:val="00D67B72"/>
    <w:rsid w:val="00D710E5"/>
    <w:rsid w:val="00D7326D"/>
    <w:rsid w:val="00D772B2"/>
    <w:rsid w:val="00D77B18"/>
    <w:rsid w:val="00D80890"/>
    <w:rsid w:val="00D8632E"/>
    <w:rsid w:val="00D92BDE"/>
    <w:rsid w:val="00D93497"/>
    <w:rsid w:val="00D93BF5"/>
    <w:rsid w:val="00D9453A"/>
    <w:rsid w:val="00D95F4B"/>
    <w:rsid w:val="00DA56A4"/>
    <w:rsid w:val="00DA7A93"/>
    <w:rsid w:val="00DB0404"/>
    <w:rsid w:val="00DB12EA"/>
    <w:rsid w:val="00DB480C"/>
    <w:rsid w:val="00DB590A"/>
    <w:rsid w:val="00DB659A"/>
    <w:rsid w:val="00DC0309"/>
    <w:rsid w:val="00DC45DD"/>
    <w:rsid w:val="00DC5846"/>
    <w:rsid w:val="00DC6A2A"/>
    <w:rsid w:val="00DC7512"/>
    <w:rsid w:val="00DD046D"/>
    <w:rsid w:val="00DD0931"/>
    <w:rsid w:val="00DD0E0A"/>
    <w:rsid w:val="00DD2751"/>
    <w:rsid w:val="00DD71B3"/>
    <w:rsid w:val="00DE1953"/>
    <w:rsid w:val="00DE1A56"/>
    <w:rsid w:val="00DE2068"/>
    <w:rsid w:val="00DE48C8"/>
    <w:rsid w:val="00DE60B8"/>
    <w:rsid w:val="00DE6333"/>
    <w:rsid w:val="00DF5F02"/>
    <w:rsid w:val="00E00636"/>
    <w:rsid w:val="00E022E9"/>
    <w:rsid w:val="00E031A4"/>
    <w:rsid w:val="00E035F0"/>
    <w:rsid w:val="00E107F9"/>
    <w:rsid w:val="00E10FC4"/>
    <w:rsid w:val="00E11461"/>
    <w:rsid w:val="00E17D4C"/>
    <w:rsid w:val="00E17FDA"/>
    <w:rsid w:val="00E204BF"/>
    <w:rsid w:val="00E209D9"/>
    <w:rsid w:val="00E20B6B"/>
    <w:rsid w:val="00E22E81"/>
    <w:rsid w:val="00E23866"/>
    <w:rsid w:val="00E24E3E"/>
    <w:rsid w:val="00E24FAD"/>
    <w:rsid w:val="00E27285"/>
    <w:rsid w:val="00E27493"/>
    <w:rsid w:val="00E27EE6"/>
    <w:rsid w:val="00E36870"/>
    <w:rsid w:val="00E37112"/>
    <w:rsid w:val="00E37C0C"/>
    <w:rsid w:val="00E40230"/>
    <w:rsid w:val="00E41D35"/>
    <w:rsid w:val="00E42F57"/>
    <w:rsid w:val="00E43D46"/>
    <w:rsid w:val="00E440AB"/>
    <w:rsid w:val="00E44537"/>
    <w:rsid w:val="00E447C1"/>
    <w:rsid w:val="00E45734"/>
    <w:rsid w:val="00E45AE8"/>
    <w:rsid w:val="00E46946"/>
    <w:rsid w:val="00E475B8"/>
    <w:rsid w:val="00E47A52"/>
    <w:rsid w:val="00E50CA2"/>
    <w:rsid w:val="00E51B85"/>
    <w:rsid w:val="00E51D26"/>
    <w:rsid w:val="00E534CC"/>
    <w:rsid w:val="00E53A3B"/>
    <w:rsid w:val="00E55237"/>
    <w:rsid w:val="00E57E64"/>
    <w:rsid w:val="00E6087D"/>
    <w:rsid w:val="00E613B0"/>
    <w:rsid w:val="00E6319A"/>
    <w:rsid w:val="00E65EF9"/>
    <w:rsid w:val="00E667A5"/>
    <w:rsid w:val="00E71B0E"/>
    <w:rsid w:val="00E72607"/>
    <w:rsid w:val="00E729B3"/>
    <w:rsid w:val="00E73D30"/>
    <w:rsid w:val="00E75880"/>
    <w:rsid w:val="00E80E8A"/>
    <w:rsid w:val="00E8280A"/>
    <w:rsid w:val="00E836B1"/>
    <w:rsid w:val="00E83BAA"/>
    <w:rsid w:val="00E85D1F"/>
    <w:rsid w:val="00E900B1"/>
    <w:rsid w:val="00E90113"/>
    <w:rsid w:val="00E90730"/>
    <w:rsid w:val="00E92FDF"/>
    <w:rsid w:val="00E93437"/>
    <w:rsid w:val="00E945E7"/>
    <w:rsid w:val="00E954E2"/>
    <w:rsid w:val="00E95EA3"/>
    <w:rsid w:val="00EA0DEE"/>
    <w:rsid w:val="00EA1693"/>
    <w:rsid w:val="00EA2CF2"/>
    <w:rsid w:val="00EA4D49"/>
    <w:rsid w:val="00EA7AB4"/>
    <w:rsid w:val="00EB1A3A"/>
    <w:rsid w:val="00EB1B56"/>
    <w:rsid w:val="00EB206D"/>
    <w:rsid w:val="00EB2112"/>
    <w:rsid w:val="00EB2E5F"/>
    <w:rsid w:val="00EB3290"/>
    <w:rsid w:val="00EB593D"/>
    <w:rsid w:val="00EB74AF"/>
    <w:rsid w:val="00EB7F79"/>
    <w:rsid w:val="00EC058A"/>
    <w:rsid w:val="00EC18A7"/>
    <w:rsid w:val="00EC1A20"/>
    <w:rsid w:val="00EC1C47"/>
    <w:rsid w:val="00EC1DC1"/>
    <w:rsid w:val="00EC29AF"/>
    <w:rsid w:val="00EC6AA9"/>
    <w:rsid w:val="00EC6BA4"/>
    <w:rsid w:val="00ED1C6B"/>
    <w:rsid w:val="00ED4DE0"/>
    <w:rsid w:val="00EE0381"/>
    <w:rsid w:val="00EE0571"/>
    <w:rsid w:val="00EE0E6C"/>
    <w:rsid w:val="00EE117F"/>
    <w:rsid w:val="00EE5125"/>
    <w:rsid w:val="00EF1549"/>
    <w:rsid w:val="00F0202B"/>
    <w:rsid w:val="00F030BF"/>
    <w:rsid w:val="00F04A17"/>
    <w:rsid w:val="00F06F52"/>
    <w:rsid w:val="00F07C54"/>
    <w:rsid w:val="00F12FF2"/>
    <w:rsid w:val="00F14973"/>
    <w:rsid w:val="00F15FAB"/>
    <w:rsid w:val="00F175F1"/>
    <w:rsid w:val="00F24BF8"/>
    <w:rsid w:val="00F24C50"/>
    <w:rsid w:val="00F24E34"/>
    <w:rsid w:val="00F26663"/>
    <w:rsid w:val="00F26E4E"/>
    <w:rsid w:val="00F274BA"/>
    <w:rsid w:val="00F321A6"/>
    <w:rsid w:val="00F328DD"/>
    <w:rsid w:val="00F3482A"/>
    <w:rsid w:val="00F34E67"/>
    <w:rsid w:val="00F37809"/>
    <w:rsid w:val="00F4011E"/>
    <w:rsid w:val="00F41CF9"/>
    <w:rsid w:val="00F437BF"/>
    <w:rsid w:val="00F44FAD"/>
    <w:rsid w:val="00F47DC6"/>
    <w:rsid w:val="00F51A11"/>
    <w:rsid w:val="00F51EBF"/>
    <w:rsid w:val="00F54277"/>
    <w:rsid w:val="00F61B0D"/>
    <w:rsid w:val="00F6253C"/>
    <w:rsid w:val="00F63515"/>
    <w:rsid w:val="00F64047"/>
    <w:rsid w:val="00F66332"/>
    <w:rsid w:val="00F67E54"/>
    <w:rsid w:val="00F71378"/>
    <w:rsid w:val="00F719C3"/>
    <w:rsid w:val="00F73594"/>
    <w:rsid w:val="00F745F9"/>
    <w:rsid w:val="00F757F7"/>
    <w:rsid w:val="00F7665C"/>
    <w:rsid w:val="00F76977"/>
    <w:rsid w:val="00F77E54"/>
    <w:rsid w:val="00F81E7F"/>
    <w:rsid w:val="00F81EB4"/>
    <w:rsid w:val="00F84C75"/>
    <w:rsid w:val="00F905FF"/>
    <w:rsid w:val="00F9338C"/>
    <w:rsid w:val="00F9561D"/>
    <w:rsid w:val="00F95D9C"/>
    <w:rsid w:val="00FA01A1"/>
    <w:rsid w:val="00FA0642"/>
    <w:rsid w:val="00FA0EC6"/>
    <w:rsid w:val="00FA19E7"/>
    <w:rsid w:val="00FA256D"/>
    <w:rsid w:val="00FA47C7"/>
    <w:rsid w:val="00FA505B"/>
    <w:rsid w:val="00FA572D"/>
    <w:rsid w:val="00FA5CA1"/>
    <w:rsid w:val="00FB0EB7"/>
    <w:rsid w:val="00FB24A6"/>
    <w:rsid w:val="00FB536C"/>
    <w:rsid w:val="00FB6553"/>
    <w:rsid w:val="00FB65F9"/>
    <w:rsid w:val="00FB79B2"/>
    <w:rsid w:val="00FC39BB"/>
    <w:rsid w:val="00FC3B2A"/>
    <w:rsid w:val="00FC3E60"/>
    <w:rsid w:val="00FC4DE8"/>
    <w:rsid w:val="00FC5492"/>
    <w:rsid w:val="00FC783B"/>
    <w:rsid w:val="00FD0758"/>
    <w:rsid w:val="00FD13C2"/>
    <w:rsid w:val="00FD2552"/>
    <w:rsid w:val="00FD2A6A"/>
    <w:rsid w:val="00FD3585"/>
    <w:rsid w:val="00FD3896"/>
    <w:rsid w:val="00FD4178"/>
    <w:rsid w:val="00FD62ED"/>
    <w:rsid w:val="00FD668E"/>
    <w:rsid w:val="00FE1824"/>
    <w:rsid w:val="00FE19EC"/>
    <w:rsid w:val="00FE61CB"/>
    <w:rsid w:val="00FE6DBC"/>
    <w:rsid w:val="00FE76AB"/>
    <w:rsid w:val="00FE7874"/>
    <w:rsid w:val="00FF709E"/>
    <w:rsid w:val="0116D411"/>
    <w:rsid w:val="01B1259D"/>
    <w:rsid w:val="01CC1238"/>
    <w:rsid w:val="01E8BAD7"/>
    <w:rsid w:val="020C5AA9"/>
    <w:rsid w:val="02150352"/>
    <w:rsid w:val="02208A65"/>
    <w:rsid w:val="023D3B1E"/>
    <w:rsid w:val="03093ACC"/>
    <w:rsid w:val="03507511"/>
    <w:rsid w:val="0397AD4C"/>
    <w:rsid w:val="039C1444"/>
    <w:rsid w:val="0444A2FF"/>
    <w:rsid w:val="045D6061"/>
    <w:rsid w:val="0485DB48"/>
    <w:rsid w:val="049B122E"/>
    <w:rsid w:val="04CAD237"/>
    <w:rsid w:val="0536DCC5"/>
    <w:rsid w:val="059ADFA0"/>
    <w:rsid w:val="059F3B17"/>
    <w:rsid w:val="06D03842"/>
    <w:rsid w:val="0735ECF9"/>
    <w:rsid w:val="0744EB0B"/>
    <w:rsid w:val="079DB8BC"/>
    <w:rsid w:val="07E01E35"/>
    <w:rsid w:val="08AA8AFF"/>
    <w:rsid w:val="096FD130"/>
    <w:rsid w:val="0A69FFFE"/>
    <w:rsid w:val="0B085520"/>
    <w:rsid w:val="0B6987E9"/>
    <w:rsid w:val="0B74AF53"/>
    <w:rsid w:val="0B79B86D"/>
    <w:rsid w:val="0C1DC473"/>
    <w:rsid w:val="0C2267EB"/>
    <w:rsid w:val="0C7C3CD3"/>
    <w:rsid w:val="0C83EC11"/>
    <w:rsid w:val="0C99BB7E"/>
    <w:rsid w:val="0CB4C1D9"/>
    <w:rsid w:val="0D9ABBE7"/>
    <w:rsid w:val="0DC9860C"/>
    <w:rsid w:val="0F203C75"/>
    <w:rsid w:val="0F40547B"/>
    <w:rsid w:val="0F9ED008"/>
    <w:rsid w:val="0FB0CB56"/>
    <w:rsid w:val="0FEA00C0"/>
    <w:rsid w:val="103A77C8"/>
    <w:rsid w:val="116D3A04"/>
    <w:rsid w:val="11E1D387"/>
    <w:rsid w:val="123E4F83"/>
    <w:rsid w:val="129DC274"/>
    <w:rsid w:val="1393E4B2"/>
    <w:rsid w:val="13D99259"/>
    <w:rsid w:val="146133EF"/>
    <w:rsid w:val="14A89EB2"/>
    <w:rsid w:val="15053CAF"/>
    <w:rsid w:val="1536732A"/>
    <w:rsid w:val="15A35F00"/>
    <w:rsid w:val="15E8A094"/>
    <w:rsid w:val="161D9BBD"/>
    <w:rsid w:val="16313149"/>
    <w:rsid w:val="164E3A05"/>
    <w:rsid w:val="17090C45"/>
    <w:rsid w:val="1787C311"/>
    <w:rsid w:val="178C90BB"/>
    <w:rsid w:val="17C93B26"/>
    <w:rsid w:val="184CB782"/>
    <w:rsid w:val="1858A047"/>
    <w:rsid w:val="1899C0C0"/>
    <w:rsid w:val="18E0DEDF"/>
    <w:rsid w:val="19093D20"/>
    <w:rsid w:val="192CD586"/>
    <w:rsid w:val="1A8F9932"/>
    <w:rsid w:val="1AE31404"/>
    <w:rsid w:val="1AEFA921"/>
    <w:rsid w:val="1AFBB1CD"/>
    <w:rsid w:val="1B59F5F2"/>
    <w:rsid w:val="1BCCB8B4"/>
    <w:rsid w:val="1BF68AEB"/>
    <w:rsid w:val="1BFB4F7B"/>
    <w:rsid w:val="1C00F287"/>
    <w:rsid w:val="1C322C2C"/>
    <w:rsid w:val="1D3D6591"/>
    <w:rsid w:val="1D4EF7F6"/>
    <w:rsid w:val="1D4FA4F1"/>
    <w:rsid w:val="1D5A2941"/>
    <w:rsid w:val="1F0631EF"/>
    <w:rsid w:val="1FA8B9A6"/>
    <w:rsid w:val="1FF37BD9"/>
    <w:rsid w:val="2008681A"/>
    <w:rsid w:val="204882C7"/>
    <w:rsid w:val="207C0C25"/>
    <w:rsid w:val="21510383"/>
    <w:rsid w:val="217CD787"/>
    <w:rsid w:val="2236763A"/>
    <w:rsid w:val="22EDB712"/>
    <w:rsid w:val="22F5A072"/>
    <w:rsid w:val="232524C0"/>
    <w:rsid w:val="23265909"/>
    <w:rsid w:val="232E9FE7"/>
    <w:rsid w:val="23B94B15"/>
    <w:rsid w:val="23DF0907"/>
    <w:rsid w:val="23E69B0A"/>
    <w:rsid w:val="242CB799"/>
    <w:rsid w:val="2433F620"/>
    <w:rsid w:val="2439CA21"/>
    <w:rsid w:val="244F872F"/>
    <w:rsid w:val="24858F40"/>
    <w:rsid w:val="24BDC09B"/>
    <w:rsid w:val="24ED146E"/>
    <w:rsid w:val="253FA727"/>
    <w:rsid w:val="256287B6"/>
    <w:rsid w:val="256AC3B8"/>
    <w:rsid w:val="25E37EBC"/>
    <w:rsid w:val="25EB5790"/>
    <w:rsid w:val="268CF032"/>
    <w:rsid w:val="26BD41FA"/>
    <w:rsid w:val="26D08035"/>
    <w:rsid w:val="26FBB8DC"/>
    <w:rsid w:val="280824B0"/>
    <w:rsid w:val="284C800E"/>
    <w:rsid w:val="2899C5D9"/>
    <w:rsid w:val="29E7D441"/>
    <w:rsid w:val="29FEFF68"/>
    <w:rsid w:val="2A87A53B"/>
    <w:rsid w:val="2A88CB61"/>
    <w:rsid w:val="2AEDDCDC"/>
    <w:rsid w:val="2AF40CCF"/>
    <w:rsid w:val="2B244FF5"/>
    <w:rsid w:val="2BC18FDB"/>
    <w:rsid w:val="2C3A34D4"/>
    <w:rsid w:val="2CE525DA"/>
    <w:rsid w:val="2DDEFB6B"/>
    <w:rsid w:val="2E1408DA"/>
    <w:rsid w:val="2E3F8B28"/>
    <w:rsid w:val="2E6B94FA"/>
    <w:rsid w:val="2E7B0BA3"/>
    <w:rsid w:val="2EBDB314"/>
    <w:rsid w:val="2EC22BB4"/>
    <w:rsid w:val="2ECBCE74"/>
    <w:rsid w:val="2F2C92CD"/>
    <w:rsid w:val="2F626668"/>
    <w:rsid w:val="2FB3323F"/>
    <w:rsid w:val="2FEBB3B4"/>
    <w:rsid w:val="309BAEA8"/>
    <w:rsid w:val="31434402"/>
    <w:rsid w:val="315DB843"/>
    <w:rsid w:val="317B2B8D"/>
    <w:rsid w:val="3232D71C"/>
    <w:rsid w:val="32CCF633"/>
    <w:rsid w:val="335962DB"/>
    <w:rsid w:val="3389931E"/>
    <w:rsid w:val="339EFC22"/>
    <w:rsid w:val="345765F8"/>
    <w:rsid w:val="34882F5C"/>
    <w:rsid w:val="34C98AF4"/>
    <w:rsid w:val="34CA6B61"/>
    <w:rsid w:val="34EE42D0"/>
    <w:rsid w:val="35240812"/>
    <w:rsid w:val="3525AC7D"/>
    <w:rsid w:val="3550E1EA"/>
    <w:rsid w:val="3558AF5D"/>
    <w:rsid w:val="35AFC160"/>
    <w:rsid w:val="35CEE7BE"/>
    <w:rsid w:val="36041747"/>
    <w:rsid w:val="36141E10"/>
    <w:rsid w:val="36EADDB7"/>
    <w:rsid w:val="37C7F717"/>
    <w:rsid w:val="380CD23C"/>
    <w:rsid w:val="38A8A563"/>
    <w:rsid w:val="38ADEE62"/>
    <w:rsid w:val="38CB9C56"/>
    <w:rsid w:val="3962F68D"/>
    <w:rsid w:val="397E1210"/>
    <w:rsid w:val="39CA75E7"/>
    <w:rsid w:val="3A582E36"/>
    <w:rsid w:val="3AFEC6EE"/>
    <w:rsid w:val="3B3B50AF"/>
    <w:rsid w:val="3C5B5327"/>
    <w:rsid w:val="3C6DEEC4"/>
    <w:rsid w:val="3CED2CD6"/>
    <w:rsid w:val="3D5FD2E4"/>
    <w:rsid w:val="3D6C7A05"/>
    <w:rsid w:val="3E2B5B60"/>
    <w:rsid w:val="3E70DC72"/>
    <w:rsid w:val="3E83A5BB"/>
    <w:rsid w:val="3EE3DC3B"/>
    <w:rsid w:val="3EE934A1"/>
    <w:rsid w:val="3EF209B8"/>
    <w:rsid w:val="3F55FF65"/>
    <w:rsid w:val="3F897F81"/>
    <w:rsid w:val="3FF88A2D"/>
    <w:rsid w:val="3FFBE331"/>
    <w:rsid w:val="403D42B8"/>
    <w:rsid w:val="40F7FC3C"/>
    <w:rsid w:val="40FE1400"/>
    <w:rsid w:val="41263111"/>
    <w:rsid w:val="41442EE1"/>
    <w:rsid w:val="417A4CB1"/>
    <w:rsid w:val="41870B76"/>
    <w:rsid w:val="41AB7823"/>
    <w:rsid w:val="41BF325A"/>
    <w:rsid w:val="422B57D6"/>
    <w:rsid w:val="42438E2C"/>
    <w:rsid w:val="4265FA7B"/>
    <w:rsid w:val="433B1EF5"/>
    <w:rsid w:val="433D9D57"/>
    <w:rsid w:val="43C5D3EF"/>
    <w:rsid w:val="440EA9ED"/>
    <w:rsid w:val="44777DC8"/>
    <w:rsid w:val="4482A64B"/>
    <w:rsid w:val="451B0022"/>
    <w:rsid w:val="45637179"/>
    <w:rsid w:val="457BD364"/>
    <w:rsid w:val="4588E4F0"/>
    <w:rsid w:val="458B8114"/>
    <w:rsid w:val="45F84232"/>
    <w:rsid w:val="4676A718"/>
    <w:rsid w:val="4762875C"/>
    <w:rsid w:val="47AE5356"/>
    <w:rsid w:val="47EC11E4"/>
    <w:rsid w:val="48BCD9BF"/>
    <w:rsid w:val="48E53800"/>
    <w:rsid w:val="49CB14B5"/>
    <w:rsid w:val="4A153025"/>
    <w:rsid w:val="4A322693"/>
    <w:rsid w:val="4A54ABB7"/>
    <w:rsid w:val="4A74BA25"/>
    <w:rsid w:val="4AAD75B7"/>
    <w:rsid w:val="4AD7FB5B"/>
    <w:rsid w:val="4B23B2A6"/>
    <w:rsid w:val="4B8ABA9C"/>
    <w:rsid w:val="4B9CDB40"/>
    <w:rsid w:val="4BD421C6"/>
    <w:rsid w:val="4BF2171C"/>
    <w:rsid w:val="4C8FF1EF"/>
    <w:rsid w:val="4C9387F8"/>
    <w:rsid w:val="4D31BC01"/>
    <w:rsid w:val="4D64CCD8"/>
    <w:rsid w:val="4DC2A9EB"/>
    <w:rsid w:val="4DF74136"/>
    <w:rsid w:val="4E02AE89"/>
    <w:rsid w:val="4E2133C4"/>
    <w:rsid w:val="4E5BBE63"/>
    <w:rsid w:val="4EF055FA"/>
    <w:rsid w:val="4F3B4136"/>
    <w:rsid w:val="4F53564E"/>
    <w:rsid w:val="4F9784CF"/>
    <w:rsid w:val="50380B6D"/>
    <w:rsid w:val="50824C53"/>
    <w:rsid w:val="50881EB9"/>
    <w:rsid w:val="50E39702"/>
    <w:rsid w:val="5100CCC1"/>
    <w:rsid w:val="514A4ACE"/>
    <w:rsid w:val="5196B084"/>
    <w:rsid w:val="51E658D1"/>
    <w:rsid w:val="52518414"/>
    <w:rsid w:val="527231C1"/>
    <w:rsid w:val="5277ACAE"/>
    <w:rsid w:val="52CBBEF8"/>
    <w:rsid w:val="52E69DBA"/>
    <w:rsid w:val="52FA8D68"/>
    <w:rsid w:val="53D5A95D"/>
    <w:rsid w:val="547FB0AA"/>
    <w:rsid w:val="54F5B735"/>
    <w:rsid w:val="561F0C3A"/>
    <w:rsid w:val="562D901D"/>
    <w:rsid w:val="56DEA3D6"/>
    <w:rsid w:val="57009582"/>
    <w:rsid w:val="5705B7A3"/>
    <w:rsid w:val="5728BF7E"/>
    <w:rsid w:val="57D4325A"/>
    <w:rsid w:val="57F5B84F"/>
    <w:rsid w:val="5827B548"/>
    <w:rsid w:val="586480F9"/>
    <w:rsid w:val="5865620F"/>
    <w:rsid w:val="5916BFFE"/>
    <w:rsid w:val="591FA278"/>
    <w:rsid w:val="596CEC76"/>
    <w:rsid w:val="5A68E435"/>
    <w:rsid w:val="5AADD30D"/>
    <w:rsid w:val="5ACDA9CF"/>
    <w:rsid w:val="5AF8D0F8"/>
    <w:rsid w:val="5B83EDC6"/>
    <w:rsid w:val="5BFCE38F"/>
    <w:rsid w:val="5C858D8B"/>
    <w:rsid w:val="5CBF51FD"/>
    <w:rsid w:val="5DAFB372"/>
    <w:rsid w:val="5DD4D2B0"/>
    <w:rsid w:val="5E69A74D"/>
    <w:rsid w:val="5ED5C630"/>
    <w:rsid w:val="5EE75282"/>
    <w:rsid w:val="5F166965"/>
    <w:rsid w:val="5F643FAF"/>
    <w:rsid w:val="5F850AED"/>
    <w:rsid w:val="5F9ED2F9"/>
    <w:rsid w:val="5FA500DA"/>
    <w:rsid w:val="5FEC0E7C"/>
    <w:rsid w:val="5FF1CD00"/>
    <w:rsid w:val="5FFC66CB"/>
    <w:rsid w:val="606BDC72"/>
    <w:rsid w:val="607E780F"/>
    <w:rsid w:val="6133C540"/>
    <w:rsid w:val="61A779C5"/>
    <w:rsid w:val="62584EF3"/>
    <w:rsid w:val="6308AF38"/>
    <w:rsid w:val="63B188B7"/>
    <w:rsid w:val="63E49F52"/>
    <w:rsid w:val="63F3D0FF"/>
    <w:rsid w:val="63FB4291"/>
    <w:rsid w:val="64F48997"/>
    <w:rsid w:val="652AA505"/>
    <w:rsid w:val="65501FE9"/>
    <w:rsid w:val="65B478E4"/>
    <w:rsid w:val="662FE130"/>
    <w:rsid w:val="668C15C9"/>
    <w:rsid w:val="6692C270"/>
    <w:rsid w:val="66B6D8C3"/>
    <w:rsid w:val="66D6B1AD"/>
    <w:rsid w:val="689AC507"/>
    <w:rsid w:val="68F1C0DA"/>
    <w:rsid w:val="694AA009"/>
    <w:rsid w:val="69D2E1DC"/>
    <w:rsid w:val="69E51ED8"/>
    <w:rsid w:val="6A66E754"/>
    <w:rsid w:val="6A9737E1"/>
    <w:rsid w:val="6AC02516"/>
    <w:rsid w:val="6B9CFB55"/>
    <w:rsid w:val="6C374E07"/>
    <w:rsid w:val="6C5A4B10"/>
    <w:rsid w:val="6C61B7CF"/>
    <w:rsid w:val="6D07AF86"/>
    <w:rsid w:val="6DE59E81"/>
    <w:rsid w:val="6E4A16C1"/>
    <w:rsid w:val="6F6221B1"/>
    <w:rsid w:val="6FB876AE"/>
    <w:rsid w:val="6FE6DBB2"/>
    <w:rsid w:val="709D057A"/>
    <w:rsid w:val="70EAA99E"/>
    <w:rsid w:val="7188919D"/>
    <w:rsid w:val="7256FB94"/>
    <w:rsid w:val="72A0CD14"/>
    <w:rsid w:val="72B7C806"/>
    <w:rsid w:val="72EDFDA7"/>
    <w:rsid w:val="735FFA87"/>
    <w:rsid w:val="738CFD8B"/>
    <w:rsid w:val="739529E5"/>
    <w:rsid w:val="73F17E05"/>
    <w:rsid w:val="743F42BC"/>
    <w:rsid w:val="74789B9E"/>
    <w:rsid w:val="748B5EA4"/>
    <w:rsid w:val="753093FA"/>
    <w:rsid w:val="7557CE44"/>
    <w:rsid w:val="76620D5F"/>
    <w:rsid w:val="76694C20"/>
    <w:rsid w:val="767F0FE6"/>
    <w:rsid w:val="76E0301B"/>
    <w:rsid w:val="775A6E71"/>
    <w:rsid w:val="77DEDAA5"/>
    <w:rsid w:val="781B6FA8"/>
    <w:rsid w:val="7860D6CD"/>
    <w:rsid w:val="789BEA8E"/>
    <w:rsid w:val="78C2034D"/>
    <w:rsid w:val="78CAB56B"/>
    <w:rsid w:val="78D10CC7"/>
    <w:rsid w:val="790CEB3D"/>
    <w:rsid w:val="79E3BCEB"/>
    <w:rsid w:val="79F6644F"/>
    <w:rsid w:val="7A06F7D2"/>
    <w:rsid w:val="7A4028F3"/>
    <w:rsid w:val="7A70072B"/>
    <w:rsid w:val="7A8855E5"/>
    <w:rsid w:val="7ABC7267"/>
    <w:rsid w:val="7AF97138"/>
    <w:rsid w:val="7B4074F5"/>
    <w:rsid w:val="7BA03499"/>
    <w:rsid w:val="7C33758E"/>
    <w:rsid w:val="7CA33486"/>
    <w:rsid w:val="7D34F701"/>
    <w:rsid w:val="7D88C16C"/>
    <w:rsid w:val="7DDB8898"/>
    <w:rsid w:val="7E2008F9"/>
    <w:rsid w:val="7E58D8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DFD6B"/>
  <w15:chartTrackingRefBased/>
  <w15:docId w15:val="{E6E0B27A-0F3E-4613-8CC0-2150A0606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04D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04DAE"/>
  </w:style>
  <w:style w:type="character" w:customStyle="1" w:styleId="eop">
    <w:name w:val="eop"/>
    <w:basedOn w:val="DefaultParagraphFont"/>
    <w:rsid w:val="00404DAE"/>
  </w:style>
  <w:style w:type="paragraph" w:styleId="ListParagraph">
    <w:name w:val="List Paragraph"/>
    <w:basedOn w:val="Normal"/>
    <w:uiPriority w:val="34"/>
    <w:qFormat/>
    <w:rsid w:val="002E01D6"/>
    <w:pPr>
      <w:ind w:left="720"/>
      <w:contextualSpacing/>
    </w:pPr>
  </w:style>
  <w:style w:type="paragraph" w:styleId="CommentText">
    <w:name w:val="annotation text"/>
    <w:basedOn w:val="Normal"/>
    <w:link w:val="CommentTextChar"/>
    <w:uiPriority w:val="99"/>
    <w:unhideWhenUsed/>
    <w:rsid w:val="001C7519"/>
    <w:pPr>
      <w:spacing w:line="240" w:lineRule="auto"/>
    </w:pPr>
    <w:rPr>
      <w:sz w:val="20"/>
      <w:szCs w:val="20"/>
    </w:rPr>
  </w:style>
  <w:style w:type="character" w:customStyle="1" w:styleId="CommentTextChar">
    <w:name w:val="Comment Text Char"/>
    <w:basedOn w:val="DefaultParagraphFont"/>
    <w:link w:val="CommentText"/>
    <w:uiPriority w:val="99"/>
    <w:rsid w:val="001C7519"/>
    <w:rPr>
      <w:sz w:val="20"/>
      <w:szCs w:val="20"/>
    </w:rPr>
  </w:style>
  <w:style w:type="character" w:styleId="CommentReference">
    <w:name w:val="annotation reference"/>
    <w:basedOn w:val="DefaultParagraphFont"/>
    <w:uiPriority w:val="99"/>
    <w:semiHidden/>
    <w:unhideWhenUsed/>
    <w:rsid w:val="00CB1D47"/>
    <w:rPr>
      <w:sz w:val="16"/>
      <w:szCs w:val="16"/>
    </w:rPr>
  </w:style>
  <w:style w:type="paragraph" w:styleId="CommentSubject">
    <w:name w:val="annotation subject"/>
    <w:basedOn w:val="CommentText"/>
    <w:next w:val="CommentText"/>
    <w:link w:val="CommentSubjectChar"/>
    <w:uiPriority w:val="99"/>
    <w:semiHidden/>
    <w:unhideWhenUsed/>
    <w:rsid w:val="00CB1D47"/>
    <w:rPr>
      <w:b/>
      <w:bCs/>
    </w:rPr>
  </w:style>
  <w:style w:type="character" w:customStyle="1" w:styleId="CommentSubjectChar">
    <w:name w:val="Comment Subject Char"/>
    <w:basedOn w:val="CommentTextChar"/>
    <w:link w:val="CommentSubject"/>
    <w:uiPriority w:val="99"/>
    <w:semiHidden/>
    <w:rsid w:val="00CB1D47"/>
    <w:rPr>
      <w:b/>
      <w:bCs/>
      <w:sz w:val="20"/>
      <w:szCs w:val="20"/>
    </w:rPr>
  </w:style>
  <w:style w:type="paragraph" w:styleId="NormalWeb">
    <w:name w:val="Normal (Web)"/>
    <w:basedOn w:val="Normal"/>
    <w:uiPriority w:val="99"/>
    <w:semiHidden/>
    <w:unhideWhenUsed/>
    <w:rsid w:val="004109C3"/>
    <w:rPr>
      <w:rFonts w:ascii="Times New Roman" w:hAnsi="Times New Roman" w:cs="Times New Roman"/>
      <w:sz w:val="24"/>
      <w:szCs w:val="24"/>
    </w:rPr>
  </w:style>
  <w:style w:type="character" w:styleId="Hyperlink">
    <w:name w:val="Hyperlink"/>
    <w:basedOn w:val="DefaultParagraphFont"/>
    <w:uiPriority w:val="99"/>
    <w:unhideWhenUsed/>
    <w:rsid w:val="00F24C50"/>
    <w:rPr>
      <w:color w:val="0563C1" w:themeColor="hyperlink"/>
      <w:u w:val="single"/>
    </w:rPr>
  </w:style>
  <w:style w:type="character" w:styleId="UnresolvedMention">
    <w:name w:val="Unresolved Mention"/>
    <w:basedOn w:val="DefaultParagraphFont"/>
    <w:uiPriority w:val="99"/>
    <w:unhideWhenUsed/>
    <w:rsid w:val="00F24C50"/>
    <w:rPr>
      <w:color w:val="605E5C"/>
      <w:shd w:val="clear" w:color="auto" w:fill="E1DFDD"/>
    </w:rPr>
  </w:style>
  <w:style w:type="paragraph" w:styleId="BalloonText">
    <w:name w:val="Balloon Text"/>
    <w:basedOn w:val="Normal"/>
    <w:link w:val="BalloonTextChar"/>
    <w:uiPriority w:val="99"/>
    <w:semiHidden/>
    <w:unhideWhenUsed/>
    <w:rsid w:val="006332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2A5"/>
    <w:rPr>
      <w:rFonts w:ascii="Segoe UI" w:hAnsi="Segoe UI" w:cs="Segoe UI"/>
      <w:sz w:val="18"/>
      <w:szCs w:val="18"/>
    </w:rPr>
  </w:style>
  <w:style w:type="character" w:styleId="Mention">
    <w:name w:val="Mention"/>
    <w:basedOn w:val="DefaultParagraphFont"/>
    <w:uiPriority w:val="99"/>
    <w:unhideWhenUsed/>
    <w:rsid w:val="00F437BF"/>
    <w:rPr>
      <w:color w:val="2B579A"/>
      <w:shd w:val="clear" w:color="auto" w:fill="E6E6E6"/>
    </w:rPr>
  </w:style>
  <w:style w:type="paragraph" w:styleId="Revision">
    <w:name w:val="Revision"/>
    <w:hidden/>
    <w:uiPriority w:val="99"/>
    <w:semiHidden/>
    <w:rsid w:val="00F437BF"/>
    <w:pPr>
      <w:spacing w:after="0" w:line="240" w:lineRule="auto"/>
    </w:pPr>
  </w:style>
  <w:style w:type="character" w:customStyle="1" w:styleId="text">
    <w:name w:val="text"/>
    <w:basedOn w:val="DefaultParagraphFont"/>
    <w:rsid w:val="00F51EBF"/>
  </w:style>
  <w:style w:type="table" w:styleId="TableGrid">
    <w:name w:val="Table Grid"/>
    <w:basedOn w:val="TableNormal"/>
    <w:uiPriority w:val="39"/>
    <w:rsid w:val="00E24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46BEE"/>
    <w:pPr>
      <w:spacing w:before="90" w:after="0" w:line="240" w:lineRule="auto"/>
      <w:ind w:left="187" w:right="115"/>
      <w:jc w:val="both"/>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B46BEE"/>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412246">
      <w:bodyDiv w:val="1"/>
      <w:marLeft w:val="0"/>
      <w:marRight w:val="0"/>
      <w:marTop w:val="0"/>
      <w:marBottom w:val="0"/>
      <w:divBdr>
        <w:top w:val="none" w:sz="0" w:space="0" w:color="auto"/>
        <w:left w:val="none" w:sz="0" w:space="0" w:color="auto"/>
        <w:bottom w:val="none" w:sz="0" w:space="0" w:color="auto"/>
        <w:right w:val="none" w:sz="0" w:space="0" w:color="auto"/>
      </w:divBdr>
    </w:div>
    <w:div w:id="566305269">
      <w:bodyDiv w:val="1"/>
      <w:marLeft w:val="0"/>
      <w:marRight w:val="0"/>
      <w:marTop w:val="0"/>
      <w:marBottom w:val="0"/>
      <w:divBdr>
        <w:top w:val="none" w:sz="0" w:space="0" w:color="auto"/>
        <w:left w:val="none" w:sz="0" w:space="0" w:color="auto"/>
        <w:bottom w:val="none" w:sz="0" w:space="0" w:color="auto"/>
        <w:right w:val="none" w:sz="0" w:space="0" w:color="auto"/>
      </w:divBdr>
    </w:div>
    <w:div w:id="648749646">
      <w:bodyDiv w:val="1"/>
      <w:marLeft w:val="0"/>
      <w:marRight w:val="0"/>
      <w:marTop w:val="0"/>
      <w:marBottom w:val="0"/>
      <w:divBdr>
        <w:top w:val="none" w:sz="0" w:space="0" w:color="auto"/>
        <w:left w:val="none" w:sz="0" w:space="0" w:color="auto"/>
        <w:bottom w:val="none" w:sz="0" w:space="0" w:color="auto"/>
        <w:right w:val="none" w:sz="0" w:space="0" w:color="auto"/>
      </w:divBdr>
      <w:divsChild>
        <w:div w:id="366563348">
          <w:marLeft w:val="0"/>
          <w:marRight w:val="0"/>
          <w:marTop w:val="0"/>
          <w:marBottom w:val="0"/>
          <w:divBdr>
            <w:top w:val="none" w:sz="0" w:space="0" w:color="auto"/>
            <w:left w:val="none" w:sz="0" w:space="0" w:color="auto"/>
            <w:bottom w:val="none" w:sz="0" w:space="0" w:color="auto"/>
            <w:right w:val="none" w:sz="0" w:space="0" w:color="auto"/>
          </w:divBdr>
          <w:divsChild>
            <w:div w:id="365638391">
              <w:marLeft w:val="0"/>
              <w:marRight w:val="0"/>
              <w:marTop w:val="0"/>
              <w:marBottom w:val="0"/>
              <w:divBdr>
                <w:top w:val="none" w:sz="0" w:space="0" w:color="auto"/>
                <w:left w:val="none" w:sz="0" w:space="0" w:color="auto"/>
                <w:bottom w:val="none" w:sz="0" w:space="0" w:color="auto"/>
                <w:right w:val="none" w:sz="0" w:space="0" w:color="auto"/>
              </w:divBdr>
            </w:div>
            <w:div w:id="980885975">
              <w:marLeft w:val="0"/>
              <w:marRight w:val="0"/>
              <w:marTop w:val="0"/>
              <w:marBottom w:val="0"/>
              <w:divBdr>
                <w:top w:val="none" w:sz="0" w:space="0" w:color="auto"/>
                <w:left w:val="none" w:sz="0" w:space="0" w:color="auto"/>
                <w:bottom w:val="none" w:sz="0" w:space="0" w:color="auto"/>
                <w:right w:val="none" w:sz="0" w:space="0" w:color="auto"/>
              </w:divBdr>
            </w:div>
            <w:div w:id="1282497543">
              <w:marLeft w:val="0"/>
              <w:marRight w:val="0"/>
              <w:marTop w:val="0"/>
              <w:marBottom w:val="0"/>
              <w:divBdr>
                <w:top w:val="none" w:sz="0" w:space="0" w:color="auto"/>
                <w:left w:val="none" w:sz="0" w:space="0" w:color="auto"/>
                <w:bottom w:val="none" w:sz="0" w:space="0" w:color="auto"/>
                <w:right w:val="none" w:sz="0" w:space="0" w:color="auto"/>
              </w:divBdr>
            </w:div>
            <w:div w:id="1488980918">
              <w:marLeft w:val="0"/>
              <w:marRight w:val="0"/>
              <w:marTop w:val="0"/>
              <w:marBottom w:val="0"/>
              <w:divBdr>
                <w:top w:val="none" w:sz="0" w:space="0" w:color="auto"/>
                <w:left w:val="none" w:sz="0" w:space="0" w:color="auto"/>
                <w:bottom w:val="none" w:sz="0" w:space="0" w:color="auto"/>
                <w:right w:val="none" w:sz="0" w:space="0" w:color="auto"/>
              </w:divBdr>
            </w:div>
            <w:div w:id="1572698208">
              <w:marLeft w:val="0"/>
              <w:marRight w:val="0"/>
              <w:marTop w:val="0"/>
              <w:marBottom w:val="0"/>
              <w:divBdr>
                <w:top w:val="none" w:sz="0" w:space="0" w:color="auto"/>
                <w:left w:val="none" w:sz="0" w:space="0" w:color="auto"/>
                <w:bottom w:val="none" w:sz="0" w:space="0" w:color="auto"/>
                <w:right w:val="none" w:sz="0" w:space="0" w:color="auto"/>
              </w:divBdr>
            </w:div>
          </w:divsChild>
        </w:div>
        <w:div w:id="1536505189">
          <w:marLeft w:val="0"/>
          <w:marRight w:val="0"/>
          <w:marTop w:val="0"/>
          <w:marBottom w:val="0"/>
          <w:divBdr>
            <w:top w:val="none" w:sz="0" w:space="0" w:color="auto"/>
            <w:left w:val="none" w:sz="0" w:space="0" w:color="auto"/>
            <w:bottom w:val="none" w:sz="0" w:space="0" w:color="auto"/>
            <w:right w:val="none" w:sz="0" w:space="0" w:color="auto"/>
          </w:divBdr>
          <w:divsChild>
            <w:div w:id="106316593">
              <w:marLeft w:val="0"/>
              <w:marRight w:val="0"/>
              <w:marTop w:val="0"/>
              <w:marBottom w:val="0"/>
              <w:divBdr>
                <w:top w:val="none" w:sz="0" w:space="0" w:color="auto"/>
                <w:left w:val="none" w:sz="0" w:space="0" w:color="auto"/>
                <w:bottom w:val="none" w:sz="0" w:space="0" w:color="auto"/>
                <w:right w:val="none" w:sz="0" w:space="0" w:color="auto"/>
              </w:divBdr>
            </w:div>
            <w:div w:id="257367728">
              <w:marLeft w:val="0"/>
              <w:marRight w:val="0"/>
              <w:marTop w:val="0"/>
              <w:marBottom w:val="0"/>
              <w:divBdr>
                <w:top w:val="none" w:sz="0" w:space="0" w:color="auto"/>
                <w:left w:val="none" w:sz="0" w:space="0" w:color="auto"/>
                <w:bottom w:val="none" w:sz="0" w:space="0" w:color="auto"/>
                <w:right w:val="none" w:sz="0" w:space="0" w:color="auto"/>
              </w:divBdr>
            </w:div>
            <w:div w:id="1318462793">
              <w:marLeft w:val="0"/>
              <w:marRight w:val="0"/>
              <w:marTop w:val="0"/>
              <w:marBottom w:val="0"/>
              <w:divBdr>
                <w:top w:val="none" w:sz="0" w:space="0" w:color="auto"/>
                <w:left w:val="none" w:sz="0" w:space="0" w:color="auto"/>
                <w:bottom w:val="none" w:sz="0" w:space="0" w:color="auto"/>
                <w:right w:val="none" w:sz="0" w:space="0" w:color="auto"/>
              </w:divBdr>
            </w:div>
            <w:div w:id="2081634414">
              <w:marLeft w:val="0"/>
              <w:marRight w:val="0"/>
              <w:marTop w:val="0"/>
              <w:marBottom w:val="0"/>
              <w:divBdr>
                <w:top w:val="none" w:sz="0" w:space="0" w:color="auto"/>
                <w:left w:val="none" w:sz="0" w:space="0" w:color="auto"/>
                <w:bottom w:val="none" w:sz="0" w:space="0" w:color="auto"/>
                <w:right w:val="none" w:sz="0" w:space="0" w:color="auto"/>
              </w:divBdr>
            </w:div>
            <w:div w:id="211871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553022">
      <w:bodyDiv w:val="1"/>
      <w:marLeft w:val="0"/>
      <w:marRight w:val="0"/>
      <w:marTop w:val="0"/>
      <w:marBottom w:val="0"/>
      <w:divBdr>
        <w:top w:val="none" w:sz="0" w:space="0" w:color="auto"/>
        <w:left w:val="none" w:sz="0" w:space="0" w:color="auto"/>
        <w:bottom w:val="none" w:sz="0" w:space="0" w:color="auto"/>
        <w:right w:val="none" w:sz="0" w:space="0" w:color="auto"/>
      </w:divBdr>
    </w:div>
    <w:div w:id="750663531">
      <w:bodyDiv w:val="1"/>
      <w:marLeft w:val="0"/>
      <w:marRight w:val="0"/>
      <w:marTop w:val="0"/>
      <w:marBottom w:val="0"/>
      <w:divBdr>
        <w:top w:val="none" w:sz="0" w:space="0" w:color="auto"/>
        <w:left w:val="none" w:sz="0" w:space="0" w:color="auto"/>
        <w:bottom w:val="none" w:sz="0" w:space="0" w:color="auto"/>
        <w:right w:val="none" w:sz="0" w:space="0" w:color="auto"/>
      </w:divBdr>
    </w:div>
    <w:div w:id="829754022">
      <w:bodyDiv w:val="1"/>
      <w:marLeft w:val="0"/>
      <w:marRight w:val="0"/>
      <w:marTop w:val="0"/>
      <w:marBottom w:val="0"/>
      <w:divBdr>
        <w:top w:val="none" w:sz="0" w:space="0" w:color="auto"/>
        <w:left w:val="none" w:sz="0" w:space="0" w:color="auto"/>
        <w:bottom w:val="none" w:sz="0" w:space="0" w:color="auto"/>
        <w:right w:val="none" w:sz="0" w:space="0" w:color="auto"/>
      </w:divBdr>
    </w:div>
    <w:div w:id="978222290">
      <w:bodyDiv w:val="1"/>
      <w:marLeft w:val="0"/>
      <w:marRight w:val="0"/>
      <w:marTop w:val="0"/>
      <w:marBottom w:val="0"/>
      <w:divBdr>
        <w:top w:val="none" w:sz="0" w:space="0" w:color="auto"/>
        <w:left w:val="none" w:sz="0" w:space="0" w:color="auto"/>
        <w:bottom w:val="none" w:sz="0" w:space="0" w:color="auto"/>
        <w:right w:val="none" w:sz="0" w:space="0" w:color="auto"/>
      </w:divBdr>
      <w:divsChild>
        <w:div w:id="142352815">
          <w:marLeft w:val="0"/>
          <w:marRight w:val="0"/>
          <w:marTop w:val="0"/>
          <w:marBottom w:val="0"/>
          <w:divBdr>
            <w:top w:val="none" w:sz="0" w:space="0" w:color="auto"/>
            <w:left w:val="none" w:sz="0" w:space="0" w:color="auto"/>
            <w:bottom w:val="none" w:sz="0" w:space="0" w:color="auto"/>
            <w:right w:val="none" w:sz="0" w:space="0" w:color="auto"/>
          </w:divBdr>
        </w:div>
        <w:div w:id="833031743">
          <w:marLeft w:val="0"/>
          <w:marRight w:val="0"/>
          <w:marTop w:val="0"/>
          <w:marBottom w:val="0"/>
          <w:divBdr>
            <w:top w:val="none" w:sz="0" w:space="0" w:color="auto"/>
            <w:left w:val="none" w:sz="0" w:space="0" w:color="auto"/>
            <w:bottom w:val="none" w:sz="0" w:space="0" w:color="auto"/>
            <w:right w:val="none" w:sz="0" w:space="0" w:color="auto"/>
          </w:divBdr>
        </w:div>
      </w:divsChild>
    </w:div>
    <w:div w:id="1290239049">
      <w:bodyDiv w:val="1"/>
      <w:marLeft w:val="0"/>
      <w:marRight w:val="0"/>
      <w:marTop w:val="0"/>
      <w:marBottom w:val="0"/>
      <w:divBdr>
        <w:top w:val="none" w:sz="0" w:space="0" w:color="auto"/>
        <w:left w:val="none" w:sz="0" w:space="0" w:color="auto"/>
        <w:bottom w:val="none" w:sz="0" w:space="0" w:color="auto"/>
        <w:right w:val="none" w:sz="0" w:space="0" w:color="auto"/>
      </w:divBdr>
      <w:divsChild>
        <w:div w:id="137577082">
          <w:marLeft w:val="0"/>
          <w:marRight w:val="0"/>
          <w:marTop w:val="0"/>
          <w:marBottom w:val="0"/>
          <w:divBdr>
            <w:top w:val="none" w:sz="0" w:space="0" w:color="auto"/>
            <w:left w:val="none" w:sz="0" w:space="0" w:color="auto"/>
            <w:bottom w:val="none" w:sz="0" w:space="0" w:color="auto"/>
            <w:right w:val="none" w:sz="0" w:space="0" w:color="auto"/>
          </w:divBdr>
        </w:div>
      </w:divsChild>
    </w:div>
    <w:div w:id="1346444147">
      <w:bodyDiv w:val="1"/>
      <w:marLeft w:val="0"/>
      <w:marRight w:val="0"/>
      <w:marTop w:val="0"/>
      <w:marBottom w:val="0"/>
      <w:divBdr>
        <w:top w:val="none" w:sz="0" w:space="0" w:color="auto"/>
        <w:left w:val="none" w:sz="0" w:space="0" w:color="auto"/>
        <w:bottom w:val="none" w:sz="0" w:space="0" w:color="auto"/>
        <w:right w:val="none" w:sz="0" w:space="0" w:color="auto"/>
      </w:divBdr>
    </w:div>
    <w:div w:id="1545143619">
      <w:bodyDiv w:val="1"/>
      <w:marLeft w:val="0"/>
      <w:marRight w:val="0"/>
      <w:marTop w:val="0"/>
      <w:marBottom w:val="0"/>
      <w:divBdr>
        <w:top w:val="none" w:sz="0" w:space="0" w:color="auto"/>
        <w:left w:val="none" w:sz="0" w:space="0" w:color="auto"/>
        <w:bottom w:val="none" w:sz="0" w:space="0" w:color="auto"/>
        <w:right w:val="none" w:sz="0" w:space="0" w:color="auto"/>
      </w:divBdr>
      <w:divsChild>
        <w:div w:id="558325682">
          <w:marLeft w:val="0"/>
          <w:marRight w:val="0"/>
          <w:marTop w:val="0"/>
          <w:marBottom w:val="0"/>
          <w:divBdr>
            <w:top w:val="none" w:sz="0" w:space="0" w:color="auto"/>
            <w:left w:val="none" w:sz="0" w:space="0" w:color="auto"/>
            <w:bottom w:val="none" w:sz="0" w:space="0" w:color="auto"/>
            <w:right w:val="none" w:sz="0" w:space="0" w:color="auto"/>
          </w:divBdr>
          <w:divsChild>
            <w:div w:id="283847506">
              <w:marLeft w:val="0"/>
              <w:marRight w:val="0"/>
              <w:marTop w:val="0"/>
              <w:marBottom w:val="0"/>
              <w:divBdr>
                <w:top w:val="none" w:sz="0" w:space="0" w:color="auto"/>
                <w:left w:val="none" w:sz="0" w:space="0" w:color="auto"/>
                <w:bottom w:val="none" w:sz="0" w:space="0" w:color="auto"/>
                <w:right w:val="none" w:sz="0" w:space="0" w:color="auto"/>
              </w:divBdr>
            </w:div>
            <w:div w:id="844787634">
              <w:marLeft w:val="0"/>
              <w:marRight w:val="0"/>
              <w:marTop w:val="0"/>
              <w:marBottom w:val="0"/>
              <w:divBdr>
                <w:top w:val="none" w:sz="0" w:space="0" w:color="auto"/>
                <w:left w:val="none" w:sz="0" w:space="0" w:color="auto"/>
                <w:bottom w:val="none" w:sz="0" w:space="0" w:color="auto"/>
                <w:right w:val="none" w:sz="0" w:space="0" w:color="auto"/>
              </w:divBdr>
            </w:div>
            <w:div w:id="1121459208">
              <w:marLeft w:val="0"/>
              <w:marRight w:val="0"/>
              <w:marTop w:val="0"/>
              <w:marBottom w:val="0"/>
              <w:divBdr>
                <w:top w:val="none" w:sz="0" w:space="0" w:color="auto"/>
                <w:left w:val="none" w:sz="0" w:space="0" w:color="auto"/>
                <w:bottom w:val="none" w:sz="0" w:space="0" w:color="auto"/>
                <w:right w:val="none" w:sz="0" w:space="0" w:color="auto"/>
              </w:divBdr>
            </w:div>
            <w:div w:id="1375497861">
              <w:marLeft w:val="0"/>
              <w:marRight w:val="0"/>
              <w:marTop w:val="0"/>
              <w:marBottom w:val="0"/>
              <w:divBdr>
                <w:top w:val="none" w:sz="0" w:space="0" w:color="auto"/>
                <w:left w:val="none" w:sz="0" w:space="0" w:color="auto"/>
                <w:bottom w:val="none" w:sz="0" w:space="0" w:color="auto"/>
                <w:right w:val="none" w:sz="0" w:space="0" w:color="auto"/>
              </w:divBdr>
            </w:div>
            <w:div w:id="1944262421">
              <w:marLeft w:val="0"/>
              <w:marRight w:val="0"/>
              <w:marTop w:val="0"/>
              <w:marBottom w:val="0"/>
              <w:divBdr>
                <w:top w:val="none" w:sz="0" w:space="0" w:color="auto"/>
                <w:left w:val="none" w:sz="0" w:space="0" w:color="auto"/>
                <w:bottom w:val="none" w:sz="0" w:space="0" w:color="auto"/>
                <w:right w:val="none" w:sz="0" w:space="0" w:color="auto"/>
              </w:divBdr>
            </w:div>
          </w:divsChild>
        </w:div>
        <w:div w:id="1290478808">
          <w:marLeft w:val="0"/>
          <w:marRight w:val="0"/>
          <w:marTop w:val="0"/>
          <w:marBottom w:val="0"/>
          <w:divBdr>
            <w:top w:val="none" w:sz="0" w:space="0" w:color="auto"/>
            <w:left w:val="none" w:sz="0" w:space="0" w:color="auto"/>
            <w:bottom w:val="none" w:sz="0" w:space="0" w:color="auto"/>
            <w:right w:val="none" w:sz="0" w:space="0" w:color="auto"/>
          </w:divBdr>
          <w:divsChild>
            <w:div w:id="5643793">
              <w:marLeft w:val="0"/>
              <w:marRight w:val="0"/>
              <w:marTop w:val="0"/>
              <w:marBottom w:val="0"/>
              <w:divBdr>
                <w:top w:val="none" w:sz="0" w:space="0" w:color="auto"/>
                <w:left w:val="none" w:sz="0" w:space="0" w:color="auto"/>
                <w:bottom w:val="none" w:sz="0" w:space="0" w:color="auto"/>
                <w:right w:val="none" w:sz="0" w:space="0" w:color="auto"/>
              </w:divBdr>
            </w:div>
            <w:div w:id="92938841">
              <w:marLeft w:val="0"/>
              <w:marRight w:val="0"/>
              <w:marTop w:val="0"/>
              <w:marBottom w:val="0"/>
              <w:divBdr>
                <w:top w:val="none" w:sz="0" w:space="0" w:color="auto"/>
                <w:left w:val="none" w:sz="0" w:space="0" w:color="auto"/>
                <w:bottom w:val="none" w:sz="0" w:space="0" w:color="auto"/>
                <w:right w:val="none" w:sz="0" w:space="0" w:color="auto"/>
              </w:divBdr>
            </w:div>
            <w:div w:id="1181242611">
              <w:marLeft w:val="0"/>
              <w:marRight w:val="0"/>
              <w:marTop w:val="0"/>
              <w:marBottom w:val="0"/>
              <w:divBdr>
                <w:top w:val="none" w:sz="0" w:space="0" w:color="auto"/>
                <w:left w:val="none" w:sz="0" w:space="0" w:color="auto"/>
                <w:bottom w:val="none" w:sz="0" w:space="0" w:color="auto"/>
                <w:right w:val="none" w:sz="0" w:space="0" w:color="auto"/>
              </w:divBdr>
            </w:div>
            <w:div w:id="1384061876">
              <w:marLeft w:val="0"/>
              <w:marRight w:val="0"/>
              <w:marTop w:val="0"/>
              <w:marBottom w:val="0"/>
              <w:divBdr>
                <w:top w:val="none" w:sz="0" w:space="0" w:color="auto"/>
                <w:left w:val="none" w:sz="0" w:space="0" w:color="auto"/>
                <w:bottom w:val="none" w:sz="0" w:space="0" w:color="auto"/>
                <w:right w:val="none" w:sz="0" w:space="0" w:color="auto"/>
              </w:divBdr>
            </w:div>
            <w:div w:id="176167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901343">
      <w:bodyDiv w:val="1"/>
      <w:marLeft w:val="0"/>
      <w:marRight w:val="0"/>
      <w:marTop w:val="0"/>
      <w:marBottom w:val="0"/>
      <w:divBdr>
        <w:top w:val="none" w:sz="0" w:space="0" w:color="auto"/>
        <w:left w:val="none" w:sz="0" w:space="0" w:color="auto"/>
        <w:bottom w:val="none" w:sz="0" w:space="0" w:color="auto"/>
        <w:right w:val="none" w:sz="0" w:space="0" w:color="auto"/>
      </w:divBdr>
      <w:divsChild>
        <w:div w:id="1072116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flsenate.gov/Statutes/120.57" TargetMode="External"/><Relationship Id="rId5" Type="http://schemas.openxmlformats.org/officeDocument/2006/relationships/numbering" Target="numbering.xml"/><Relationship Id="rId10" Type="http://schemas.openxmlformats.org/officeDocument/2006/relationships/hyperlink" Target="https://m.flsenate.gov/Statutes/120.569" TargetMode="External"/><Relationship Id="rId4" Type="http://schemas.openxmlformats.org/officeDocument/2006/relationships/customXml" Target="../customXml/item4.xml"/><Relationship Id="rId9" Type="http://schemas.openxmlformats.org/officeDocument/2006/relationships/hyperlink" Target="https://www.epa.gov/coalash/us-state-texas-coal-combustion-residuals-ccr-permit-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7F2A4A70B72B4CA5601E10A515F089" ma:contentTypeVersion="12" ma:contentTypeDescription="Create a new document." ma:contentTypeScope="" ma:versionID="79076cdac3a2a5875d4642caddf40136">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45d56ea-baa2-4df4-8e41-9f637eafed28" xmlns:ns6="5a8c239c-38ba-4963-b8e8-33da30ceba7b" targetNamespace="http://schemas.microsoft.com/office/2006/metadata/properties" ma:root="true" ma:fieldsID="9be8ee9995bcdf79fb018e7a49847475" ns1:_="" ns2:_="" ns3:_="" ns4:_="" ns5:_="" ns6:_="">
    <xsd:import namespace="http://schemas.microsoft.com/sharepoint/v3"/>
    <xsd:import namespace="4ffa91fb-a0ff-4ac5-b2db-65c790d184a4"/>
    <xsd:import namespace="http://schemas.microsoft.com/sharepoint.v3"/>
    <xsd:import namespace="http://schemas.microsoft.com/sharepoint/v3/fields"/>
    <xsd:import namespace="045d56ea-baa2-4df4-8e41-9f637eafed28"/>
    <xsd:import namespace="5a8c239c-38ba-4963-b8e8-33da30ceba7b"/>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84e4e915-3b04-494b-ad3c-edbfce900195}" ma:internalName="TaxCatchAllLabel" ma:readOnly="true" ma:showField="CatchAllDataLabel" ma:web="5a8c239c-38ba-4963-b8e8-33da30ceba7b">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84e4e915-3b04-494b-ad3c-edbfce900195}" ma:internalName="TaxCatchAll" ma:showField="CatchAllData" ma:web="5a8c239c-38ba-4963-b8e8-33da30ceba7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5d56ea-baa2-4df4-8e41-9f637eafed28"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a8c239c-38ba-4963-b8e8-33da30ceba7b"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29f62856-1543-49d4-a736-4569d363f533"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Coverage xmlns="http://schemas.microsoft.com/sharepoint/v3/fields" xsi:nil="true"/>
    <Record xmlns="4ffa91fb-a0ff-4ac5-b2db-65c790d184a4">Shared</Record>
    <EPA_x0020_Office xmlns="4ffa91fb-a0ff-4ac5-b2db-65c790d184a4" xsi:nil="true"/>
    <Document_x0020_Creation_x0020_Date xmlns="4ffa91fb-a0ff-4ac5-b2db-65c790d184a4">2021-08-12T11:47:20+00:00</Document_x0020_Creation_x0020_Date>
    <EPA_x0020_Related_x0020_Documents xmlns="4ffa91fb-a0ff-4ac5-b2db-65c790d184a4" xsi:nil="true"/>
    <j747ac98061d40f0aa7bd47e1db5675d xmlns="4ffa91fb-a0ff-4ac5-b2db-65c790d184a4">
      <Terms xmlns="http://schemas.microsoft.com/office/infopath/2007/PartnerControls"/>
    </j747ac98061d40f0aa7bd47e1db5675d>
    <_Source xmlns="http://schemas.microsoft.com/sharepoint/v3/fields" xsi:nil="true"/>
    <CategoryDescription xmlns="http://schemas.microsoft.com/sharepoint.v3" xsi:nil="true"/>
    <EPA_x0020_Contributor xmlns="4ffa91fb-a0ff-4ac5-b2db-65c790d184a4">
      <UserInfo>
        <DisplayName/>
        <AccountId xsi:nil="true"/>
        <AccountType/>
      </UserInfo>
    </EPA_x0020_Contributor>
    <TaxCatchAll xmlns="4ffa91fb-a0ff-4ac5-b2db-65c790d184a4"/>
    <TaxKeywordTaxHTField xmlns="4ffa91fb-a0ff-4ac5-b2db-65c790d184a4">
      <Terms xmlns="http://schemas.microsoft.com/office/infopath/2007/PartnerControls"/>
    </TaxKeywordTaxHTField>
    <Rights xmlns="4ffa91fb-a0ff-4ac5-b2db-65c790d184a4" xsi:nil="true"/>
    <External_x0020_Contributor xmlns="4ffa91fb-a0ff-4ac5-b2db-65c790d184a4" xsi:nil="true"/>
    <Identifier xmlns="4ffa91fb-a0ff-4ac5-b2db-65c790d184a4" xsi:nil="true"/>
    <Creator xmlns="4ffa91fb-a0ff-4ac5-b2db-65c790d184a4">
      <UserInfo>
        <DisplayName/>
        <AccountId xsi:nil="true"/>
        <AccountType/>
      </UserInfo>
    </Creator>
    <Language xmlns="http://schemas.microsoft.com/sharepoint/v3">English</Language>
    <SharedWithUsers xmlns="5a8c239c-38ba-4963-b8e8-33da30ceba7b">
      <UserInfo>
        <DisplayName>Jackson, Mary</DisplayName>
        <AccountId>233</AccountId>
        <AccountType/>
      </UserInfo>
      <UserInfo>
        <DisplayName>Lloyd, Michelle</DisplayName>
        <AccountId>50</AccountId>
        <AccountType/>
      </UserInfo>
      <UserInfo>
        <DisplayName>Huggins, Richard</DisplayName>
        <AccountId>427</AccountId>
        <AccountType/>
      </UserInfo>
      <UserInfo>
        <DisplayName>Rodgers-Smith, Delores</DisplayName>
        <AccountId>26</AccountId>
        <AccountType/>
      </UserInfo>
      <UserInfo>
        <DisplayName>McMillan, Laura</DisplayName>
        <AccountId>12</AccountId>
        <AccountType/>
      </UserInfo>
    </SharedWithUsers>
  </documentManagement>
</p:properties>
</file>

<file path=customXml/itemProps1.xml><?xml version="1.0" encoding="utf-8"?>
<ds:datastoreItem xmlns:ds="http://schemas.openxmlformats.org/officeDocument/2006/customXml" ds:itemID="{108879F2-6B02-4562-AC95-8778A3089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045d56ea-baa2-4df4-8e41-9f637eafed28"/>
    <ds:schemaRef ds:uri="5a8c239c-38ba-4963-b8e8-33da30ceba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278C87-FFEE-4779-8F15-2F273AABE6EC}">
  <ds:schemaRefs>
    <ds:schemaRef ds:uri="Microsoft.SharePoint.Taxonomy.ContentTypeSync"/>
  </ds:schemaRefs>
</ds:datastoreItem>
</file>

<file path=customXml/itemProps3.xml><?xml version="1.0" encoding="utf-8"?>
<ds:datastoreItem xmlns:ds="http://schemas.openxmlformats.org/officeDocument/2006/customXml" ds:itemID="{62E9C084-768E-4451-8417-63A49AE20598}">
  <ds:schemaRefs>
    <ds:schemaRef ds:uri="http://schemas.microsoft.com/sharepoint/v3/contenttype/forms"/>
  </ds:schemaRefs>
</ds:datastoreItem>
</file>

<file path=customXml/itemProps4.xml><?xml version="1.0" encoding="utf-8"?>
<ds:datastoreItem xmlns:ds="http://schemas.openxmlformats.org/officeDocument/2006/customXml" ds:itemID="{1892EC39-7D47-4295-A385-48324156A757}">
  <ds:schemaRefs>
    <ds:schemaRef ds:uri="http://schemas.microsoft.com/office/2006/metadata/properties"/>
    <ds:schemaRef ds:uri="http://schemas.microsoft.com/office/infopath/2007/PartnerControls"/>
    <ds:schemaRef ds:uri="http://schemas.microsoft.com/sharepoint/v3/fields"/>
    <ds:schemaRef ds:uri="4ffa91fb-a0ff-4ac5-b2db-65c790d184a4"/>
    <ds:schemaRef ds:uri="http://schemas.microsoft.com/sharepoint.v3"/>
    <ds:schemaRef ds:uri="http://schemas.microsoft.com/sharepoint/v3"/>
    <ds:schemaRef ds:uri="5a8c239c-38ba-4963-b8e8-33da30ceba7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1764</Words>
  <Characters>10060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11801</CharactersWithSpaces>
  <SharedDoc>false</SharedDoc>
  <HLinks>
    <vt:vector size="18" baseType="variant">
      <vt:variant>
        <vt:i4>2424959</vt:i4>
      </vt:variant>
      <vt:variant>
        <vt:i4>6</vt:i4>
      </vt:variant>
      <vt:variant>
        <vt:i4>0</vt:i4>
      </vt:variant>
      <vt:variant>
        <vt:i4>5</vt:i4>
      </vt:variant>
      <vt:variant>
        <vt:lpwstr>https://m.flsenate.gov/Statutes/120.57</vt:lpwstr>
      </vt:variant>
      <vt:variant>
        <vt:lpwstr/>
      </vt:variant>
      <vt:variant>
        <vt:i4>2359423</vt:i4>
      </vt:variant>
      <vt:variant>
        <vt:i4>3</vt:i4>
      </vt:variant>
      <vt:variant>
        <vt:i4>0</vt:i4>
      </vt:variant>
      <vt:variant>
        <vt:i4>5</vt:i4>
      </vt:variant>
      <vt:variant>
        <vt:lpwstr>https://m.flsenate.gov/Statutes/120.569</vt:lpwstr>
      </vt:variant>
      <vt:variant>
        <vt:lpwstr/>
      </vt:variant>
      <vt:variant>
        <vt:i4>7340075</vt:i4>
      </vt:variant>
      <vt:variant>
        <vt:i4>0</vt:i4>
      </vt:variant>
      <vt:variant>
        <vt:i4>0</vt:i4>
      </vt:variant>
      <vt:variant>
        <vt:i4>5</vt:i4>
      </vt:variant>
      <vt:variant>
        <vt:lpwstr>https://www.epa.gov/coalash/us-state-texas-coal-combustion-residuals-ccr-permit-program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McMillan, Laura</dc:creator>
  <cp:keywords/>
  <dc:description/>
  <cp:lastModifiedBy>McMillan, Laura</cp:lastModifiedBy>
  <cp:revision>2</cp:revision>
  <dcterms:created xsi:type="dcterms:W3CDTF">2021-08-31T18:58:00Z</dcterms:created>
  <dcterms:modified xsi:type="dcterms:W3CDTF">2021-08-31T18:58:00Z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0x010100AA7F2A4A70B72B4CA5601E10A515F089</vt:lpwstr>
  </property>
  <property fmtid="{D5CDD505-2E9C-101B-9397-08002B2CF9AE}" pid="4" name="e3f09c3df709400db2417a7161762d62">
    <vt:lpwstr/>
  </property>
  <property fmtid="{D5CDD505-2E9C-101B-9397-08002B2CF9AE}" pid="5" name="EPA_x0020_Subject">
    <vt:lpwstr/>
  </property>
  <property fmtid="{D5CDD505-2E9C-101B-9397-08002B2CF9AE}" pid="6" name="Document Type">
    <vt:lpwstr/>
  </property>
  <property fmtid="{D5CDD505-2E9C-101B-9397-08002B2CF9AE}" pid="7" name="EPA Subject">
    <vt:lpwstr/>
  </property>
</Properties>
</file>