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6DF9" w14:textId="59706E4F" w:rsidR="00601B6A" w:rsidRPr="0027454E" w:rsidRDefault="00601B6A" w:rsidP="00601B6A">
      <w:pPr>
        <w:pStyle w:val="Default"/>
        <w:rPr>
          <w:rFonts w:ascii="Times New Roman" w:hAnsi="Times New Roman" w:cs="Times New Roman"/>
          <w:sz w:val="22"/>
          <w:szCs w:val="22"/>
        </w:rPr>
      </w:pPr>
      <w:r w:rsidRPr="0027454E">
        <w:rPr>
          <w:rFonts w:ascii="Times New Roman" w:hAnsi="Times New Roman" w:cs="Times New Roman"/>
          <w:b/>
          <w:bCs/>
          <w:sz w:val="22"/>
          <w:szCs w:val="22"/>
        </w:rPr>
        <w:t xml:space="preserve">These schedules are a good faith effort by the Department to inform systems of their sampling requirements. Any error in the schedule does not relieve the system of their sampling requirements. All systems must sample in accordance with </w:t>
      </w:r>
      <w:hyperlink r:id="rId7" w:history="1">
        <w:r w:rsidRPr="0027454E">
          <w:rPr>
            <w:rStyle w:val="Hyperlink"/>
            <w:rFonts w:ascii="Times New Roman" w:hAnsi="Times New Roman" w:cs="Times New Roman"/>
            <w:b/>
            <w:bCs/>
            <w:sz w:val="22"/>
            <w:szCs w:val="22"/>
          </w:rPr>
          <w:t>62-550 Florida Administrative</w:t>
        </w:r>
        <w:r w:rsidRPr="0027454E">
          <w:rPr>
            <w:rStyle w:val="Hyperlink"/>
            <w:rFonts w:ascii="Times New Roman" w:hAnsi="Times New Roman" w:cs="Times New Roman"/>
            <w:b/>
            <w:bCs/>
            <w:sz w:val="22"/>
            <w:szCs w:val="22"/>
          </w:rPr>
          <w:t xml:space="preserve"> </w:t>
        </w:r>
        <w:r w:rsidRPr="0027454E">
          <w:rPr>
            <w:rStyle w:val="Hyperlink"/>
            <w:rFonts w:ascii="Times New Roman" w:hAnsi="Times New Roman" w:cs="Times New Roman"/>
            <w:b/>
            <w:bCs/>
            <w:sz w:val="22"/>
            <w:szCs w:val="22"/>
          </w:rPr>
          <w:t>Code</w:t>
        </w:r>
      </w:hyperlink>
      <w:r w:rsidRPr="0027454E">
        <w:rPr>
          <w:rFonts w:ascii="Times New Roman" w:hAnsi="Times New Roman" w:cs="Times New Roman"/>
          <w:b/>
          <w:bCs/>
          <w:sz w:val="22"/>
          <w:szCs w:val="22"/>
        </w:rPr>
        <w:t xml:space="preserve">. </w:t>
      </w:r>
    </w:p>
    <w:p w14:paraId="79C6F2F9" w14:textId="77777777" w:rsidR="00427C9B" w:rsidRPr="0027454E" w:rsidRDefault="00427C9B" w:rsidP="00427C9B">
      <w:pPr>
        <w:pStyle w:val="Default"/>
        <w:rPr>
          <w:rFonts w:ascii="Times New Roman" w:hAnsi="Times New Roman" w:cs="Times New Roman"/>
        </w:rPr>
      </w:pPr>
    </w:p>
    <w:p w14:paraId="577460BF" w14:textId="0C90FF36" w:rsidR="00601B6A" w:rsidRPr="0027454E" w:rsidRDefault="00427C9B" w:rsidP="00601B6A">
      <w:pPr>
        <w:pStyle w:val="Default"/>
        <w:rPr>
          <w:rFonts w:ascii="Times New Roman" w:hAnsi="Times New Roman" w:cs="Times New Roman"/>
          <w:sz w:val="22"/>
          <w:szCs w:val="22"/>
        </w:rPr>
      </w:pPr>
      <w:r w:rsidRPr="0027454E">
        <w:rPr>
          <w:rFonts w:ascii="Times New Roman" w:hAnsi="Times New Roman" w:cs="Times New Roman"/>
          <w:sz w:val="22"/>
          <w:szCs w:val="22"/>
        </w:rPr>
        <w:t xml:space="preserve">The Department recommends that samples are collected early to allow time for resampling during the monitoring period if needed and to avoid missed monitoring violations. </w:t>
      </w:r>
      <w:r w:rsidR="00601B6A" w:rsidRPr="0027454E">
        <w:rPr>
          <w:rFonts w:ascii="Times New Roman" w:hAnsi="Times New Roman" w:cs="Times New Roman"/>
          <w:sz w:val="22"/>
          <w:szCs w:val="22"/>
        </w:rPr>
        <w:t xml:space="preserve">Contact the Department by email if you have specific questions about your monitoring schedule. </w:t>
      </w:r>
    </w:p>
    <w:p w14:paraId="11AA9074" w14:textId="77777777" w:rsidR="00601B6A" w:rsidRPr="0027454E" w:rsidRDefault="00601B6A" w:rsidP="00427C9B">
      <w:pPr>
        <w:pStyle w:val="Default"/>
        <w:rPr>
          <w:rFonts w:ascii="Times New Roman" w:hAnsi="Times New Roman" w:cs="Times New Roman"/>
          <w:sz w:val="22"/>
          <w:szCs w:val="22"/>
        </w:rPr>
      </w:pPr>
    </w:p>
    <w:p w14:paraId="20D5E28D" w14:textId="3DAA0FDE" w:rsidR="00601B6A" w:rsidRPr="0027454E" w:rsidRDefault="00AA2C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The following table describes each column in the</w:t>
      </w:r>
      <w:r w:rsidR="00B515A6">
        <w:rPr>
          <w:rFonts w:ascii="Times New Roman" w:hAnsi="Times New Roman" w:cs="Times New Roman"/>
          <w:sz w:val="22"/>
          <w:szCs w:val="22"/>
        </w:rPr>
        <w:t xml:space="preserve"> monitoring</w:t>
      </w:r>
      <w:r w:rsidRPr="0027454E">
        <w:rPr>
          <w:rFonts w:ascii="Times New Roman" w:hAnsi="Times New Roman" w:cs="Times New Roman"/>
          <w:sz w:val="22"/>
          <w:szCs w:val="22"/>
        </w:rPr>
        <w:t xml:space="preserve"> spreadsheet.  The last page of this document is a blank Monitoring Schedule form you can complete</w:t>
      </w:r>
      <w:r w:rsidR="0027454E" w:rsidRPr="0027454E">
        <w:rPr>
          <w:rFonts w:ascii="Times New Roman" w:hAnsi="Times New Roman" w:cs="Times New Roman"/>
          <w:sz w:val="22"/>
          <w:szCs w:val="22"/>
        </w:rPr>
        <w:t xml:space="preserve"> and use to ensure monitoring is completed during 202</w:t>
      </w:r>
      <w:r w:rsidR="00721ACE">
        <w:rPr>
          <w:rFonts w:ascii="Times New Roman" w:hAnsi="Times New Roman" w:cs="Times New Roman"/>
          <w:sz w:val="22"/>
          <w:szCs w:val="22"/>
        </w:rPr>
        <w:t>4</w:t>
      </w:r>
      <w:r w:rsidR="0027454E" w:rsidRPr="0027454E">
        <w:rPr>
          <w:rFonts w:ascii="Times New Roman" w:hAnsi="Times New Roman" w:cs="Times New Roman"/>
          <w:sz w:val="22"/>
          <w:szCs w:val="22"/>
        </w:rPr>
        <w:t>.</w:t>
      </w:r>
    </w:p>
    <w:p w14:paraId="32C4616D" w14:textId="77777777" w:rsidR="0027454E" w:rsidRPr="0027454E" w:rsidRDefault="0027454E" w:rsidP="00427C9B">
      <w:pPr>
        <w:pStyle w:val="Default"/>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3505"/>
        <w:gridCol w:w="6393"/>
      </w:tblGrid>
      <w:tr w:rsidR="00427C9B" w:rsidRPr="0027454E" w14:paraId="564FFCE1" w14:textId="77777777" w:rsidTr="005769AD">
        <w:tc>
          <w:tcPr>
            <w:tcW w:w="3505" w:type="dxa"/>
          </w:tcPr>
          <w:p w14:paraId="226B08C8" w14:textId="2A8EACF5" w:rsidR="00427C9B" w:rsidRPr="0027454E" w:rsidRDefault="00427C9B" w:rsidP="00427C9B">
            <w:pPr>
              <w:pStyle w:val="Default"/>
              <w:rPr>
                <w:rFonts w:ascii="Times New Roman" w:hAnsi="Times New Roman" w:cs="Times New Roman"/>
                <w:b/>
                <w:sz w:val="22"/>
                <w:szCs w:val="22"/>
              </w:rPr>
            </w:pPr>
            <w:r w:rsidRPr="0027454E">
              <w:rPr>
                <w:rFonts w:ascii="Times New Roman" w:hAnsi="Times New Roman" w:cs="Times New Roman"/>
                <w:b/>
                <w:sz w:val="22"/>
                <w:szCs w:val="22"/>
              </w:rPr>
              <w:t>Spreadsheet Column Heading</w:t>
            </w:r>
          </w:p>
        </w:tc>
        <w:tc>
          <w:tcPr>
            <w:tcW w:w="6393" w:type="dxa"/>
          </w:tcPr>
          <w:p w14:paraId="7F3CB09A" w14:textId="629F2EEA" w:rsidR="00427C9B" w:rsidRPr="0027454E" w:rsidRDefault="00427C9B" w:rsidP="00427C9B">
            <w:pPr>
              <w:pStyle w:val="Default"/>
              <w:rPr>
                <w:rFonts w:ascii="Times New Roman" w:hAnsi="Times New Roman" w:cs="Times New Roman"/>
                <w:b/>
                <w:sz w:val="22"/>
                <w:szCs w:val="22"/>
              </w:rPr>
            </w:pPr>
            <w:r w:rsidRPr="0027454E">
              <w:rPr>
                <w:rFonts w:ascii="Times New Roman" w:hAnsi="Times New Roman" w:cs="Times New Roman"/>
                <w:b/>
                <w:sz w:val="22"/>
                <w:szCs w:val="22"/>
              </w:rPr>
              <w:t>Details</w:t>
            </w:r>
          </w:p>
        </w:tc>
      </w:tr>
      <w:tr w:rsidR="00427C9B" w:rsidRPr="0027454E" w14:paraId="58EF7074" w14:textId="77777777" w:rsidTr="005769AD">
        <w:tc>
          <w:tcPr>
            <w:tcW w:w="3505" w:type="dxa"/>
          </w:tcPr>
          <w:p w14:paraId="55A5242C" w14:textId="1A3D2D80" w:rsidR="00427C9B"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PWS ID</w:t>
            </w:r>
          </w:p>
        </w:tc>
        <w:tc>
          <w:tcPr>
            <w:tcW w:w="6393" w:type="dxa"/>
          </w:tcPr>
          <w:p w14:paraId="3B697D0F" w14:textId="013E711A" w:rsidR="00427C9B" w:rsidRPr="0027454E" w:rsidRDefault="00601B6A" w:rsidP="00427C9B">
            <w:pPr>
              <w:pStyle w:val="Default"/>
              <w:rPr>
                <w:rFonts w:ascii="Times New Roman" w:hAnsi="Times New Roman" w:cs="Times New Roman"/>
                <w:sz w:val="22"/>
                <w:szCs w:val="22"/>
              </w:rPr>
            </w:pPr>
            <w:r w:rsidRPr="0027454E">
              <w:rPr>
                <w:rFonts w:ascii="Times New Roman" w:hAnsi="Times New Roman" w:cs="Times New Roman"/>
                <w:sz w:val="22"/>
                <w:szCs w:val="22"/>
              </w:rPr>
              <w:t>Assigned Identification Number</w:t>
            </w:r>
          </w:p>
        </w:tc>
      </w:tr>
      <w:tr w:rsidR="00427C9B" w:rsidRPr="0027454E" w14:paraId="7AB006DC" w14:textId="77777777" w:rsidTr="005769AD">
        <w:tc>
          <w:tcPr>
            <w:tcW w:w="3505" w:type="dxa"/>
          </w:tcPr>
          <w:p w14:paraId="74BA0155" w14:textId="4F771FF7" w:rsidR="00427C9B"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System Name</w:t>
            </w:r>
          </w:p>
        </w:tc>
        <w:tc>
          <w:tcPr>
            <w:tcW w:w="6393" w:type="dxa"/>
          </w:tcPr>
          <w:p w14:paraId="1ED20900" w14:textId="340503B2" w:rsidR="00427C9B" w:rsidRPr="0027454E" w:rsidRDefault="00601B6A" w:rsidP="00427C9B">
            <w:pPr>
              <w:pStyle w:val="Default"/>
              <w:rPr>
                <w:rFonts w:ascii="Times New Roman" w:hAnsi="Times New Roman" w:cs="Times New Roman"/>
                <w:sz w:val="22"/>
                <w:szCs w:val="22"/>
              </w:rPr>
            </w:pPr>
            <w:r w:rsidRPr="0027454E">
              <w:rPr>
                <w:rFonts w:ascii="Times New Roman" w:hAnsi="Times New Roman" w:cs="Times New Roman"/>
                <w:sz w:val="22"/>
                <w:szCs w:val="22"/>
              </w:rPr>
              <w:t>Name for the public water system as captured in Department Records.  Contact your inspector if updates are needed.</w:t>
            </w:r>
          </w:p>
        </w:tc>
      </w:tr>
      <w:tr w:rsidR="00B515A6" w:rsidRPr="0027454E" w14:paraId="6E0664C9" w14:textId="77777777" w:rsidTr="005769AD">
        <w:tc>
          <w:tcPr>
            <w:tcW w:w="3505" w:type="dxa"/>
          </w:tcPr>
          <w:p w14:paraId="2A17B186" w14:textId="5927D18B" w:rsidR="00B515A6" w:rsidRPr="0027454E"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County</w:t>
            </w:r>
          </w:p>
        </w:tc>
        <w:tc>
          <w:tcPr>
            <w:tcW w:w="6393" w:type="dxa"/>
          </w:tcPr>
          <w:p w14:paraId="6A021C59" w14:textId="02D08E37" w:rsidR="00B515A6" w:rsidRPr="0027454E"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County the PWS is located in</w:t>
            </w:r>
            <w:r w:rsidR="00926B02">
              <w:rPr>
                <w:rFonts w:ascii="Times New Roman" w:hAnsi="Times New Roman" w:cs="Times New Roman"/>
                <w:sz w:val="22"/>
                <w:szCs w:val="22"/>
              </w:rPr>
              <w:t>.</w:t>
            </w:r>
          </w:p>
        </w:tc>
      </w:tr>
      <w:tr w:rsidR="00427C9B" w:rsidRPr="0027454E" w14:paraId="338C4CA8" w14:textId="77777777" w:rsidTr="005769AD">
        <w:tc>
          <w:tcPr>
            <w:tcW w:w="3505" w:type="dxa"/>
          </w:tcPr>
          <w:p w14:paraId="4E041929" w14:textId="0A8BE1DD" w:rsidR="00427C9B" w:rsidRPr="0027454E" w:rsidRDefault="007712DD" w:rsidP="00427C9B">
            <w:pPr>
              <w:pStyle w:val="Default"/>
              <w:rPr>
                <w:rFonts w:ascii="Times New Roman" w:hAnsi="Times New Roman" w:cs="Times New Roman"/>
                <w:sz w:val="22"/>
                <w:szCs w:val="22"/>
              </w:rPr>
            </w:pPr>
            <w:r>
              <w:rPr>
                <w:rFonts w:ascii="Times New Roman" w:hAnsi="Times New Roman" w:cs="Times New Roman"/>
                <w:sz w:val="22"/>
                <w:szCs w:val="22"/>
              </w:rPr>
              <w:t xml:space="preserve">System </w:t>
            </w:r>
            <w:r w:rsidR="00E328E6" w:rsidRPr="0027454E">
              <w:rPr>
                <w:rFonts w:ascii="Times New Roman" w:hAnsi="Times New Roman" w:cs="Times New Roman"/>
                <w:sz w:val="22"/>
                <w:szCs w:val="22"/>
              </w:rPr>
              <w:t>Type</w:t>
            </w:r>
          </w:p>
        </w:tc>
        <w:tc>
          <w:tcPr>
            <w:tcW w:w="6393" w:type="dxa"/>
          </w:tcPr>
          <w:p w14:paraId="6D3774EF" w14:textId="77777777" w:rsidR="00427C9B" w:rsidRPr="0027454E" w:rsidRDefault="00E328E6" w:rsidP="00601B6A">
            <w:pPr>
              <w:pStyle w:val="Default"/>
              <w:numPr>
                <w:ilvl w:val="0"/>
                <w:numId w:val="5"/>
              </w:numPr>
              <w:rPr>
                <w:rFonts w:ascii="Times New Roman" w:hAnsi="Times New Roman" w:cs="Times New Roman"/>
                <w:sz w:val="22"/>
                <w:szCs w:val="22"/>
              </w:rPr>
            </w:pPr>
            <w:r w:rsidRPr="0027454E">
              <w:rPr>
                <w:rFonts w:ascii="Times New Roman" w:hAnsi="Times New Roman" w:cs="Times New Roman"/>
                <w:sz w:val="22"/>
                <w:szCs w:val="22"/>
              </w:rPr>
              <w:t>Community (Small) indicates community water systems under 3,300 population.</w:t>
            </w:r>
          </w:p>
          <w:p w14:paraId="1C97C5C8" w14:textId="77777777" w:rsidR="00E328E6" w:rsidRPr="0027454E" w:rsidRDefault="00E328E6" w:rsidP="00601B6A">
            <w:pPr>
              <w:pStyle w:val="Default"/>
              <w:numPr>
                <w:ilvl w:val="0"/>
                <w:numId w:val="5"/>
              </w:numPr>
              <w:rPr>
                <w:rFonts w:ascii="Times New Roman" w:hAnsi="Times New Roman" w:cs="Times New Roman"/>
                <w:sz w:val="22"/>
                <w:szCs w:val="22"/>
              </w:rPr>
            </w:pPr>
            <w:r w:rsidRPr="0027454E">
              <w:rPr>
                <w:rFonts w:ascii="Times New Roman" w:hAnsi="Times New Roman" w:cs="Times New Roman"/>
                <w:sz w:val="22"/>
                <w:szCs w:val="22"/>
              </w:rPr>
              <w:t>Community (Large) indicates community water systems over 3,300 population.</w:t>
            </w:r>
          </w:p>
          <w:p w14:paraId="0E4621D3" w14:textId="6B6E51B7" w:rsidR="00601B6A" w:rsidRPr="0027454E" w:rsidRDefault="00601B6A" w:rsidP="00601B6A">
            <w:pPr>
              <w:pStyle w:val="Default"/>
              <w:numPr>
                <w:ilvl w:val="0"/>
                <w:numId w:val="5"/>
              </w:numPr>
              <w:rPr>
                <w:rFonts w:ascii="Times New Roman" w:hAnsi="Times New Roman" w:cs="Times New Roman"/>
                <w:sz w:val="22"/>
                <w:szCs w:val="22"/>
              </w:rPr>
            </w:pPr>
            <w:r w:rsidRPr="0027454E">
              <w:rPr>
                <w:rFonts w:ascii="Times New Roman" w:hAnsi="Times New Roman" w:cs="Times New Roman"/>
                <w:sz w:val="22"/>
                <w:szCs w:val="22"/>
              </w:rPr>
              <w:t>Non-Transient Non-Community</w:t>
            </w:r>
          </w:p>
        </w:tc>
      </w:tr>
      <w:tr w:rsidR="00E328E6" w:rsidRPr="0027454E" w14:paraId="57184F3B" w14:textId="77777777" w:rsidTr="005769AD">
        <w:tc>
          <w:tcPr>
            <w:tcW w:w="3505" w:type="dxa"/>
          </w:tcPr>
          <w:p w14:paraId="0028ED53" w14:textId="72A47B7B" w:rsidR="00E328E6"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Contaminant Group</w:t>
            </w:r>
          </w:p>
        </w:tc>
        <w:tc>
          <w:tcPr>
            <w:tcW w:w="6393" w:type="dxa"/>
          </w:tcPr>
          <w:p w14:paraId="24C19901" w14:textId="0310F8B7" w:rsidR="00E328E6" w:rsidRPr="0027454E" w:rsidRDefault="00601B6A" w:rsidP="00601B6A">
            <w:pPr>
              <w:pStyle w:val="Default"/>
              <w:numPr>
                <w:ilvl w:val="0"/>
                <w:numId w:val="3"/>
              </w:numPr>
              <w:rPr>
                <w:rFonts w:ascii="Times New Roman" w:hAnsi="Times New Roman" w:cs="Times New Roman"/>
                <w:sz w:val="22"/>
                <w:szCs w:val="22"/>
              </w:rPr>
            </w:pPr>
            <w:r w:rsidRPr="0027454E">
              <w:rPr>
                <w:rFonts w:ascii="Times New Roman" w:hAnsi="Times New Roman" w:cs="Times New Roman"/>
                <w:sz w:val="22"/>
                <w:szCs w:val="22"/>
              </w:rPr>
              <w:t>Inorganics – total of 16 contaminants (Asbestos is separate)</w:t>
            </w:r>
          </w:p>
          <w:p w14:paraId="52BBD05A" w14:textId="77777777" w:rsidR="00601B6A" w:rsidRPr="0027454E" w:rsidRDefault="00601B6A" w:rsidP="00601B6A">
            <w:pPr>
              <w:pStyle w:val="Default"/>
              <w:numPr>
                <w:ilvl w:val="0"/>
                <w:numId w:val="3"/>
              </w:numPr>
              <w:rPr>
                <w:rFonts w:ascii="Times New Roman" w:hAnsi="Times New Roman" w:cs="Times New Roman"/>
                <w:sz w:val="22"/>
                <w:szCs w:val="22"/>
              </w:rPr>
            </w:pPr>
            <w:r w:rsidRPr="0027454E">
              <w:rPr>
                <w:rFonts w:ascii="Times New Roman" w:hAnsi="Times New Roman" w:cs="Times New Roman"/>
                <w:sz w:val="22"/>
                <w:szCs w:val="22"/>
              </w:rPr>
              <w:t>Secondaries – Total of 14 contaminants</w:t>
            </w:r>
          </w:p>
          <w:p w14:paraId="3F43C13A" w14:textId="511E9DF1" w:rsidR="00601B6A" w:rsidRPr="0027454E" w:rsidRDefault="00601B6A" w:rsidP="00601B6A">
            <w:pPr>
              <w:pStyle w:val="Default"/>
              <w:numPr>
                <w:ilvl w:val="0"/>
                <w:numId w:val="3"/>
              </w:numPr>
              <w:rPr>
                <w:rFonts w:ascii="Times New Roman" w:hAnsi="Times New Roman" w:cs="Times New Roman"/>
                <w:sz w:val="22"/>
                <w:szCs w:val="22"/>
              </w:rPr>
            </w:pPr>
            <w:r w:rsidRPr="0027454E">
              <w:rPr>
                <w:rFonts w:ascii="Times New Roman" w:hAnsi="Times New Roman" w:cs="Times New Roman"/>
                <w:sz w:val="22"/>
                <w:szCs w:val="22"/>
              </w:rPr>
              <w:t>Volatile Organics – Total of 21 contaminants</w:t>
            </w:r>
          </w:p>
          <w:p w14:paraId="592BC065" w14:textId="3055C14B" w:rsidR="00601B6A" w:rsidRDefault="00601B6A" w:rsidP="00601B6A">
            <w:pPr>
              <w:pStyle w:val="Default"/>
              <w:numPr>
                <w:ilvl w:val="0"/>
                <w:numId w:val="3"/>
              </w:numPr>
              <w:rPr>
                <w:rFonts w:ascii="Times New Roman" w:hAnsi="Times New Roman" w:cs="Times New Roman"/>
                <w:sz w:val="22"/>
                <w:szCs w:val="22"/>
              </w:rPr>
            </w:pPr>
            <w:r w:rsidRPr="0027454E">
              <w:rPr>
                <w:rFonts w:ascii="Times New Roman" w:hAnsi="Times New Roman" w:cs="Times New Roman"/>
                <w:sz w:val="22"/>
                <w:szCs w:val="22"/>
              </w:rPr>
              <w:t>Synthetic Organics – Total of 29 contaminants</w:t>
            </w:r>
          </w:p>
          <w:p w14:paraId="493D922C" w14:textId="15A288B3" w:rsidR="00EE6D20" w:rsidRPr="002926D2" w:rsidRDefault="00EE6D20" w:rsidP="00EE6D20">
            <w:pPr>
              <w:pStyle w:val="Default"/>
              <w:numPr>
                <w:ilvl w:val="1"/>
                <w:numId w:val="3"/>
              </w:numPr>
              <w:rPr>
                <w:rFonts w:ascii="Times New Roman" w:hAnsi="Times New Roman" w:cs="Times New Roman"/>
                <w:sz w:val="22"/>
                <w:szCs w:val="22"/>
              </w:rPr>
            </w:pPr>
            <w:r w:rsidRPr="002926D2">
              <w:rPr>
                <w:rFonts w:ascii="Times New Roman" w:hAnsi="Times New Roman" w:cs="Times New Roman"/>
                <w:sz w:val="22"/>
                <w:szCs w:val="22"/>
              </w:rPr>
              <w:t>Waiver</w:t>
            </w:r>
            <w:r w:rsidR="00905A9C" w:rsidRPr="002926D2">
              <w:rPr>
                <w:rFonts w:ascii="Times New Roman" w:hAnsi="Times New Roman" w:cs="Times New Roman"/>
                <w:sz w:val="22"/>
                <w:szCs w:val="22"/>
              </w:rPr>
              <w:t>s may be submitted in 2023 for qualifying Large Communities to exempt from SOC sampling</w:t>
            </w:r>
            <w:r w:rsidRPr="002926D2">
              <w:rPr>
                <w:rFonts w:ascii="Times New Roman" w:hAnsi="Times New Roman" w:cs="Times New Roman"/>
                <w:sz w:val="22"/>
                <w:szCs w:val="22"/>
              </w:rPr>
              <w:t>.</w:t>
            </w:r>
          </w:p>
          <w:p w14:paraId="1D0F8E91" w14:textId="1ABC9444" w:rsidR="00C42C97" w:rsidRPr="002926D2" w:rsidRDefault="00C42C97" w:rsidP="00EE6D20">
            <w:pPr>
              <w:pStyle w:val="Default"/>
              <w:numPr>
                <w:ilvl w:val="1"/>
                <w:numId w:val="3"/>
              </w:numPr>
              <w:rPr>
                <w:rFonts w:ascii="Times New Roman" w:hAnsi="Times New Roman" w:cs="Times New Roman"/>
                <w:sz w:val="22"/>
                <w:szCs w:val="22"/>
              </w:rPr>
            </w:pPr>
            <w:r w:rsidRPr="002926D2">
              <w:rPr>
                <w:rFonts w:ascii="Times New Roman" w:hAnsi="Times New Roman" w:cs="Times New Roman"/>
                <w:sz w:val="22"/>
                <w:szCs w:val="22"/>
              </w:rPr>
              <w:t>Large Communities without waivers are required to sample *2* sets of SOCs during the 2023 sampling period.</w:t>
            </w:r>
          </w:p>
          <w:p w14:paraId="77979421" w14:textId="5625E3A7" w:rsidR="00601B6A" w:rsidRPr="0027454E" w:rsidRDefault="00601B6A" w:rsidP="00601B6A">
            <w:pPr>
              <w:pStyle w:val="Default"/>
              <w:numPr>
                <w:ilvl w:val="0"/>
                <w:numId w:val="3"/>
              </w:numPr>
              <w:rPr>
                <w:rFonts w:ascii="Times New Roman" w:hAnsi="Times New Roman" w:cs="Times New Roman"/>
                <w:sz w:val="22"/>
                <w:szCs w:val="22"/>
              </w:rPr>
            </w:pPr>
            <w:r w:rsidRPr="0027454E">
              <w:rPr>
                <w:rFonts w:ascii="Times New Roman" w:hAnsi="Times New Roman" w:cs="Times New Roman"/>
                <w:sz w:val="22"/>
                <w:szCs w:val="22"/>
              </w:rPr>
              <w:t>Radiologicals – Total of 3 contaminants</w:t>
            </w:r>
          </w:p>
          <w:p w14:paraId="3D2532BD" w14:textId="774C5332" w:rsidR="00601B6A" w:rsidRPr="0027454E" w:rsidRDefault="00601B6A" w:rsidP="00601B6A">
            <w:pPr>
              <w:pStyle w:val="Default"/>
              <w:numPr>
                <w:ilvl w:val="0"/>
                <w:numId w:val="3"/>
              </w:numPr>
              <w:rPr>
                <w:rFonts w:ascii="Times New Roman" w:hAnsi="Times New Roman" w:cs="Times New Roman"/>
                <w:sz w:val="22"/>
                <w:szCs w:val="22"/>
              </w:rPr>
            </w:pPr>
            <w:r w:rsidRPr="0027454E">
              <w:rPr>
                <w:rFonts w:ascii="Times New Roman" w:hAnsi="Times New Roman" w:cs="Times New Roman"/>
                <w:sz w:val="22"/>
                <w:szCs w:val="22"/>
              </w:rPr>
              <w:t>Disinfection Byproducts</w:t>
            </w:r>
            <w:r w:rsidR="001D15FA">
              <w:rPr>
                <w:rFonts w:ascii="Times New Roman" w:hAnsi="Times New Roman" w:cs="Times New Roman"/>
                <w:sz w:val="22"/>
                <w:szCs w:val="22"/>
              </w:rPr>
              <w:t xml:space="preserve"> (DBPs)</w:t>
            </w:r>
            <w:r w:rsidRPr="0027454E">
              <w:rPr>
                <w:rFonts w:ascii="Times New Roman" w:hAnsi="Times New Roman" w:cs="Times New Roman"/>
                <w:sz w:val="22"/>
                <w:szCs w:val="22"/>
              </w:rPr>
              <w:t xml:space="preserve"> – includes Total Trihalomethanes and Total Haloacetic Acids</w:t>
            </w:r>
          </w:p>
        </w:tc>
      </w:tr>
      <w:tr w:rsidR="00E328E6" w:rsidRPr="0027454E" w14:paraId="3CC350C4" w14:textId="77777777" w:rsidTr="005769AD">
        <w:tc>
          <w:tcPr>
            <w:tcW w:w="3505" w:type="dxa"/>
          </w:tcPr>
          <w:p w14:paraId="2989D827" w14:textId="1F080547" w:rsidR="00E328E6"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Contaminant Name</w:t>
            </w:r>
          </w:p>
        </w:tc>
        <w:tc>
          <w:tcPr>
            <w:tcW w:w="6393" w:type="dxa"/>
          </w:tcPr>
          <w:p w14:paraId="6079425C" w14:textId="4006BB0D" w:rsidR="00B515A6" w:rsidRPr="00B515A6" w:rsidRDefault="00B515A6" w:rsidP="00427C9B">
            <w:pPr>
              <w:pStyle w:val="Default"/>
              <w:numPr>
                <w:ilvl w:val="0"/>
                <w:numId w:val="6"/>
              </w:numPr>
              <w:rPr>
                <w:rFonts w:ascii="Times New Roman" w:hAnsi="Times New Roman" w:cs="Times New Roman"/>
                <w:sz w:val="22"/>
                <w:szCs w:val="22"/>
              </w:rPr>
            </w:pPr>
            <w:r w:rsidRPr="00B515A6">
              <w:rPr>
                <w:rFonts w:ascii="Times New Roman" w:hAnsi="Times New Roman" w:cs="Times New Roman"/>
                <w:sz w:val="22"/>
                <w:szCs w:val="22"/>
              </w:rPr>
              <w:t>List of contaminant groups and/or individual contaminants required to be sampled by the system</w:t>
            </w:r>
            <w:r>
              <w:rPr>
                <w:rFonts w:ascii="Times New Roman" w:hAnsi="Times New Roman" w:cs="Times New Roman"/>
                <w:sz w:val="22"/>
                <w:szCs w:val="22"/>
              </w:rPr>
              <w:t>.</w:t>
            </w:r>
          </w:p>
          <w:p w14:paraId="6328403C" w14:textId="77777777" w:rsidR="00E328E6" w:rsidRDefault="00E328E6" w:rsidP="00B515A6">
            <w:pPr>
              <w:pStyle w:val="Default"/>
              <w:numPr>
                <w:ilvl w:val="0"/>
                <w:numId w:val="6"/>
              </w:numPr>
              <w:rPr>
                <w:rFonts w:ascii="Times New Roman" w:hAnsi="Times New Roman" w:cs="Times New Roman"/>
                <w:sz w:val="22"/>
                <w:szCs w:val="22"/>
              </w:rPr>
            </w:pPr>
            <w:r w:rsidRPr="0027454E">
              <w:rPr>
                <w:rFonts w:ascii="Times New Roman" w:hAnsi="Times New Roman" w:cs="Times New Roman"/>
                <w:sz w:val="22"/>
                <w:szCs w:val="22"/>
              </w:rPr>
              <w:t>Individual contaminant</w:t>
            </w:r>
            <w:r w:rsidR="00AA2CE6" w:rsidRPr="0027454E">
              <w:rPr>
                <w:rFonts w:ascii="Times New Roman" w:hAnsi="Times New Roman" w:cs="Times New Roman"/>
                <w:sz w:val="22"/>
                <w:szCs w:val="22"/>
              </w:rPr>
              <w:t>s</w:t>
            </w:r>
            <w:r w:rsidRPr="0027454E">
              <w:rPr>
                <w:rFonts w:ascii="Times New Roman" w:hAnsi="Times New Roman" w:cs="Times New Roman"/>
                <w:sz w:val="22"/>
                <w:szCs w:val="22"/>
              </w:rPr>
              <w:t xml:space="preserve"> may be required</w:t>
            </w:r>
            <w:r w:rsidR="00D0493B" w:rsidRPr="0027454E">
              <w:rPr>
                <w:rFonts w:ascii="Times New Roman" w:hAnsi="Times New Roman" w:cs="Times New Roman"/>
                <w:sz w:val="22"/>
                <w:szCs w:val="22"/>
              </w:rPr>
              <w:t xml:space="preserve"> on a quarterly or annual basis</w:t>
            </w:r>
            <w:r w:rsidRPr="0027454E">
              <w:rPr>
                <w:rFonts w:ascii="Times New Roman" w:hAnsi="Times New Roman" w:cs="Times New Roman"/>
                <w:sz w:val="22"/>
                <w:szCs w:val="22"/>
              </w:rPr>
              <w:t xml:space="preserve">.  You will see the specific contaminant name required.  </w:t>
            </w:r>
          </w:p>
          <w:p w14:paraId="28360DFC" w14:textId="62A737E7" w:rsidR="00B515A6" w:rsidRPr="00B515A6" w:rsidRDefault="00B515A6" w:rsidP="00B515A6">
            <w:pPr>
              <w:pStyle w:val="Default"/>
              <w:numPr>
                <w:ilvl w:val="0"/>
                <w:numId w:val="6"/>
              </w:numPr>
              <w:rPr>
                <w:rFonts w:ascii="Times New Roman" w:hAnsi="Times New Roman" w:cs="Times New Roman"/>
                <w:b/>
                <w:bCs/>
                <w:sz w:val="22"/>
                <w:szCs w:val="22"/>
              </w:rPr>
            </w:pPr>
            <w:r w:rsidRPr="00B515A6">
              <w:rPr>
                <w:rFonts w:ascii="Times New Roman" w:hAnsi="Times New Roman" w:cs="Times New Roman"/>
                <w:b/>
                <w:bCs/>
                <w:sz w:val="22"/>
                <w:szCs w:val="22"/>
              </w:rPr>
              <w:t>Note: If your system samples Primary Inorganics in a year</w:t>
            </w:r>
            <w:r>
              <w:rPr>
                <w:rFonts w:ascii="Times New Roman" w:hAnsi="Times New Roman" w:cs="Times New Roman"/>
                <w:b/>
                <w:bCs/>
                <w:sz w:val="22"/>
                <w:szCs w:val="22"/>
              </w:rPr>
              <w:t xml:space="preserve"> then</w:t>
            </w:r>
            <w:r w:rsidRPr="00B515A6">
              <w:rPr>
                <w:rFonts w:ascii="Times New Roman" w:hAnsi="Times New Roman" w:cs="Times New Roman"/>
                <w:b/>
                <w:bCs/>
                <w:sz w:val="22"/>
                <w:szCs w:val="22"/>
              </w:rPr>
              <w:t xml:space="preserve"> that set includes Nitrate and Nitrite and they do not need to be sample</w:t>
            </w:r>
            <w:r>
              <w:rPr>
                <w:rFonts w:ascii="Times New Roman" w:hAnsi="Times New Roman" w:cs="Times New Roman"/>
                <w:b/>
                <w:bCs/>
                <w:sz w:val="22"/>
                <w:szCs w:val="22"/>
              </w:rPr>
              <w:t>d</w:t>
            </w:r>
            <w:r w:rsidRPr="00B515A6">
              <w:rPr>
                <w:rFonts w:ascii="Times New Roman" w:hAnsi="Times New Roman" w:cs="Times New Roman"/>
                <w:b/>
                <w:bCs/>
                <w:sz w:val="22"/>
                <w:szCs w:val="22"/>
              </w:rPr>
              <w:t xml:space="preserve"> separately. </w:t>
            </w:r>
          </w:p>
        </w:tc>
      </w:tr>
      <w:tr w:rsidR="00E328E6" w:rsidRPr="0027454E" w14:paraId="6E1131EF" w14:textId="77777777" w:rsidTr="001D15FA">
        <w:trPr>
          <w:trHeight w:val="1696"/>
        </w:trPr>
        <w:tc>
          <w:tcPr>
            <w:tcW w:w="3505" w:type="dxa"/>
          </w:tcPr>
          <w:p w14:paraId="4BB1909E" w14:textId="77777777" w:rsidR="00E328E6"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Frequency</w:t>
            </w:r>
          </w:p>
          <w:p w14:paraId="5719A81C" w14:textId="77777777" w:rsidR="00EF40D4" w:rsidRDefault="00EF40D4" w:rsidP="00427C9B">
            <w:pPr>
              <w:pStyle w:val="Default"/>
              <w:rPr>
                <w:rFonts w:ascii="Times New Roman" w:hAnsi="Times New Roman" w:cs="Times New Roman"/>
                <w:sz w:val="22"/>
                <w:szCs w:val="22"/>
              </w:rPr>
            </w:pPr>
          </w:p>
          <w:p w14:paraId="26167309" w14:textId="77777777" w:rsidR="00EF40D4" w:rsidRDefault="00EF40D4" w:rsidP="00427C9B">
            <w:pPr>
              <w:pStyle w:val="Default"/>
              <w:rPr>
                <w:rFonts w:ascii="Times New Roman" w:hAnsi="Times New Roman" w:cs="Times New Roman"/>
                <w:sz w:val="22"/>
                <w:szCs w:val="22"/>
              </w:rPr>
            </w:pPr>
          </w:p>
          <w:p w14:paraId="51FC99B9" w14:textId="77777777" w:rsidR="00EF40D4" w:rsidRDefault="00EF40D4" w:rsidP="00427C9B">
            <w:pPr>
              <w:pStyle w:val="Default"/>
              <w:rPr>
                <w:rFonts w:ascii="Times New Roman" w:hAnsi="Times New Roman" w:cs="Times New Roman"/>
                <w:sz w:val="22"/>
                <w:szCs w:val="22"/>
              </w:rPr>
            </w:pPr>
          </w:p>
          <w:p w14:paraId="031D9811" w14:textId="77777777" w:rsidR="00EF40D4" w:rsidRDefault="00EF40D4" w:rsidP="00427C9B">
            <w:pPr>
              <w:pStyle w:val="Default"/>
              <w:rPr>
                <w:rFonts w:ascii="Times New Roman" w:hAnsi="Times New Roman" w:cs="Times New Roman"/>
                <w:sz w:val="22"/>
                <w:szCs w:val="22"/>
              </w:rPr>
            </w:pPr>
          </w:p>
          <w:p w14:paraId="68B739BC" w14:textId="77777777" w:rsidR="00EF40D4" w:rsidRDefault="00EF40D4" w:rsidP="00427C9B">
            <w:pPr>
              <w:pStyle w:val="Default"/>
              <w:rPr>
                <w:rFonts w:ascii="Times New Roman" w:hAnsi="Times New Roman" w:cs="Times New Roman"/>
                <w:sz w:val="22"/>
                <w:szCs w:val="22"/>
              </w:rPr>
            </w:pPr>
          </w:p>
          <w:p w14:paraId="15A28A4F" w14:textId="77777777" w:rsidR="00EF40D4" w:rsidRDefault="00EF40D4" w:rsidP="00427C9B">
            <w:pPr>
              <w:pStyle w:val="Default"/>
              <w:rPr>
                <w:rFonts w:ascii="Times New Roman" w:hAnsi="Times New Roman" w:cs="Times New Roman"/>
                <w:sz w:val="22"/>
                <w:szCs w:val="22"/>
              </w:rPr>
            </w:pPr>
          </w:p>
          <w:p w14:paraId="0CBA4C57" w14:textId="77777777" w:rsidR="00EF40D4" w:rsidRDefault="00EF40D4" w:rsidP="00427C9B">
            <w:pPr>
              <w:pStyle w:val="Default"/>
              <w:rPr>
                <w:rFonts w:ascii="Times New Roman" w:hAnsi="Times New Roman" w:cs="Times New Roman"/>
                <w:sz w:val="22"/>
                <w:szCs w:val="22"/>
              </w:rPr>
            </w:pPr>
          </w:p>
          <w:p w14:paraId="7FF38227" w14:textId="77777777" w:rsidR="00EF40D4" w:rsidRDefault="00EF40D4" w:rsidP="00427C9B">
            <w:pPr>
              <w:pStyle w:val="Default"/>
              <w:rPr>
                <w:rFonts w:ascii="Times New Roman" w:hAnsi="Times New Roman" w:cs="Times New Roman"/>
                <w:sz w:val="22"/>
                <w:szCs w:val="22"/>
              </w:rPr>
            </w:pPr>
          </w:p>
          <w:p w14:paraId="79006EBD" w14:textId="77777777" w:rsidR="00EF40D4" w:rsidRDefault="00EF40D4" w:rsidP="00427C9B">
            <w:pPr>
              <w:pStyle w:val="Default"/>
              <w:rPr>
                <w:rFonts w:ascii="Times New Roman" w:hAnsi="Times New Roman" w:cs="Times New Roman"/>
                <w:sz w:val="22"/>
                <w:szCs w:val="22"/>
              </w:rPr>
            </w:pPr>
          </w:p>
          <w:p w14:paraId="388CFCC4" w14:textId="77777777" w:rsidR="001D15FA" w:rsidRDefault="001D15FA" w:rsidP="00427C9B">
            <w:pPr>
              <w:pStyle w:val="Default"/>
              <w:rPr>
                <w:rFonts w:ascii="Times New Roman" w:hAnsi="Times New Roman" w:cs="Times New Roman"/>
                <w:sz w:val="22"/>
                <w:szCs w:val="22"/>
              </w:rPr>
            </w:pPr>
          </w:p>
          <w:p w14:paraId="3D069AC6" w14:textId="77777777" w:rsidR="001D15FA" w:rsidRDefault="001D15FA" w:rsidP="00427C9B">
            <w:pPr>
              <w:pStyle w:val="Default"/>
              <w:rPr>
                <w:rFonts w:ascii="Times New Roman" w:hAnsi="Times New Roman" w:cs="Times New Roman"/>
                <w:sz w:val="22"/>
                <w:szCs w:val="22"/>
              </w:rPr>
            </w:pPr>
          </w:p>
          <w:p w14:paraId="2D3C83BA" w14:textId="13C9BA8E" w:rsidR="00EF40D4" w:rsidRPr="0027454E" w:rsidRDefault="00EF40D4" w:rsidP="00427C9B">
            <w:pPr>
              <w:pStyle w:val="Default"/>
              <w:rPr>
                <w:rFonts w:ascii="Times New Roman" w:hAnsi="Times New Roman" w:cs="Times New Roman"/>
                <w:sz w:val="22"/>
                <w:szCs w:val="22"/>
              </w:rPr>
            </w:pPr>
            <w:r>
              <w:rPr>
                <w:rFonts w:ascii="Times New Roman" w:hAnsi="Times New Roman" w:cs="Times New Roman"/>
                <w:sz w:val="22"/>
                <w:szCs w:val="22"/>
              </w:rPr>
              <w:t>Frequency (cont’d)</w:t>
            </w:r>
          </w:p>
        </w:tc>
        <w:tc>
          <w:tcPr>
            <w:tcW w:w="6393" w:type="dxa"/>
          </w:tcPr>
          <w:p w14:paraId="3A50BB84" w14:textId="77777777" w:rsidR="00247EA4" w:rsidRDefault="00E328E6" w:rsidP="00601B6A">
            <w:pPr>
              <w:pStyle w:val="Default"/>
              <w:numPr>
                <w:ilvl w:val="0"/>
                <w:numId w:val="4"/>
              </w:numPr>
              <w:rPr>
                <w:rFonts w:ascii="Times New Roman" w:hAnsi="Times New Roman" w:cs="Times New Roman"/>
                <w:sz w:val="22"/>
                <w:szCs w:val="22"/>
              </w:rPr>
            </w:pPr>
            <w:r w:rsidRPr="0027454E">
              <w:rPr>
                <w:rFonts w:ascii="Times New Roman" w:hAnsi="Times New Roman" w:cs="Times New Roman"/>
                <w:sz w:val="22"/>
                <w:szCs w:val="22"/>
              </w:rPr>
              <w:lastRenderedPageBreak/>
              <w:t>Annually</w:t>
            </w:r>
            <w:r w:rsidR="00D0493B" w:rsidRPr="0027454E">
              <w:rPr>
                <w:rFonts w:ascii="Times New Roman" w:hAnsi="Times New Roman" w:cs="Times New Roman"/>
                <w:sz w:val="22"/>
                <w:szCs w:val="22"/>
              </w:rPr>
              <w:t xml:space="preserve"> – once a year</w:t>
            </w:r>
          </w:p>
          <w:p w14:paraId="22899A1D" w14:textId="29483270" w:rsidR="00E328E6" w:rsidRPr="0027454E" w:rsidRDefault="00247EA4" w:rsidP="00247EA4">
            <w:pPr>
              <w:pStyle w:val="Default"/>
              <w:numPr>
                <w:ilvl w:val="1"/>
                <w:numId w:val="4"/>
              </w:numPr>
              <w:rPr>
                <w:rFonts w:ascii="Times New Roman" w:hAnsi="Times New Roman" w:cs="Times New Roman"/>
                <w:sz w:val="22"/>
                <w:szCs w:val="22"/>
              </w:rPr>
            </w:pPr>
            <w:r>
              <w:rPr>
                <w:rFonts w:ascii="Times New Roman" w:hAnsi="Times New Roman" w:cs="Times New Roman"/>
                <w:sz w:val="22"/>
                <w:szCs w:val="22"/>
              </w:rPr>
              <w:t xml:space="preserve">Individual contaminants (VOCs or SOCs) on annual monitoring following a detection and </w:t>
            </w:r>
            <w:r w:rsidR="006D0E4B">
              <w:rPr>
                <w:rFonts w:ascii="Times New Roman" w:hAnsi="Times New Roman" w:cs="Times New Roman"/>
                <w:sz w:val="22"/>
                <w:szCs w:val="22"/>
              </w:rPr>
              <w:t>4</w:t>
            </w:r>
            <w:r w:rsidR="00EF40D4">
              <w:rPr>
                <w:rFonts w:ascii="Times New Roman" w:hAnsi="Times New Roman" w:cs="Times New Roman"/>
                <w:sz w:val="22"/>
                <w:szCs w:val="22"/>
              </w:rPr>
              <w:t xml:space="preserve"> consecutive</w:t>
            </w:r>
            <w:r w:rsidR="006D0E4B">
              <w:rPr>
                <w:rFonts w:ascii="Times New Roman" w:hAnsi="Times New Roman" w:cs="Times New Roman"/>
                <w:sz w:val="22"/>
                <w:szCs w:val="22"/>
              </w:rPr>
              <w:t xml:space="preserve"> quarter</w:t>
            </w:r>
            <w:r w:rsidR="0009443F">
              <w:rPr>
                <w:rFonts w:ascii="Times New Roman" w:hAnsi="Times New Roman" w:cs="Times New Roman"/>
                <w:sz w:val="22"/>
                <w:szCs w:val="22"/>
              </w:rPr>
              <w:t xml:space="preserve">s of </w:t>
            </w:r>
            <w:r>
              <w:rPr>
                <w:rFonts w:ascii="Times New Roman" w:hAnsi="Times New Roman" w:cs="Times New Roman"/>
                <w:sz w:val="22"/>
                <w:szCs w:val="22"/>
              </w:rPr>
              <w:t xml:space="preserve">sampling, must be sampled during the quarter with the highest result. </w:t>
            </w:r>
          </w:p>
          <w:p w14:paraId="5B1C2B88" w14:textId="5B9801D6" w:rsidR="001D15FA" w:rsidRDefault="001D15FA" w:rsidP="00601B6A">
            <w:pPr>
              <w:pStyle w:val="Default"/>
              <w:numPr>
                <w:ilvl w:val="0"/>
                <w:numId w:val="4"/>
              </w:numPr>
              <w:rPr>
                <w:rFonts w:ascii="Times New Roman" w:hAnsi="Times New Roman" w:cs="Times New Roman"/>
                <w:sz w:val="22"/>
                <w:szCs w:val="22"/>
              </w:rPr>
            </w:pPr>
            <w:r>
              <w:rPr>
                <w:rFonts w:ascii="Times New Roman" w:hAnsi="Times New Roman" w:cs="Times New Roman"/>
                <w:sz w:val="22"/>
                <w:szCs w:val="22"/>
              </w:rPr>
              <w:t>Quarterly – once every calendar quarter</w:t>
            </w:r>
          </w:p>
          <w:p w14:paraId="718B4BE0" w14:textId="7BC2DE4B" w:rsidR="001D15FA" w:rsidRDefault="001D15FA" w:rsidP="001D15FA">
            <w:pPr>
              <w:pStyle w:val="Default"/>
              <w:numPr>
                <w:ilvl w:val="1"/>
                <w:numId w:val="4"/>
              </w:numPr>
              <w:rPr>
                <w:rFonts w:ascii="Times New Roman" w:hAnsi="Times New Roman" w:cs="Times New Roman"/>
                <w:sz w:val="22"/>
                <w:szCs w:val="22"/>
              </w:rPr>
            </w:pPr>
            <w:r>
              <w:rPr>
                <w:rFonts w:ascii="Times New Roman" w:hAnsi="Times New Roman" w:cs="Times New Roman"/>
                <w:sz w:val="22"/>
                <w:szCs w:val="22"/>
              </w:rPr>
              <w:t xml:space="preserve">DBPs must be sampled in a </w:t>
            </w:r>
            <w:r w:rsidRPr="001D15FA">
              <w:rPr>
                <w:rFonts w:ascii="Times New Roman" w:hAnsi="Times New Roman" w:cs="Times New Roman"/>
                <w:b/>
                <w:bCs/>
                <w:sz w:val="22"/>
                <w:szCs w:val="22"/>
              </w:rPr>
              <w:t>particular week and month</w:t>
            </w:r>
            <w:r>
              <w:rPr>
                <w:rFonts w:ascii="Times New Roman" w:hAnsi="Times New Roman" w:cs="Times New Roman"/>
                <w:sz w:val="22"/>
                <w:szCs w:val="22"/>
              </w:rPr>
              <w:t xml:space="preserve"> of each calendar quarter as noted on the DBP sampling plan</w:t>
            </w:r>
          </w:p>
          <w:p w14:paraId="046BBD68" w14:textId="37628F31" w:rsidR="00E328E6" w:rsidRPr="0027454E" w:rsidRDefault="00E328E6" w:rsidP="00601B6A">
            <w:pPr>
              <w:pStyle w:val="Default"/>
              <w:numPr>
                <w:ilvl w:val="0"/>
                <w:numId w:val="4"/>
              </w:numPr>
              <w:rPr>
                <w:rFonts w:ascii="Times New Roman" w:hAnsi="Times New Roman" w:cs="Times New Roman"/>
                <w:sz w:val="22"/>
                <w:szCs w:val="22"/>
              </w:rPr>
            </w:pPr>
            <w:r w:rsidRPr="0027454E">
              <w:rPr>
                <w:rFonts w:ascii="Times New Roman" w:hAnsi="Times New Roman" w:cs="Times New Roman"/>
                <w:sz w:val="22"/>
                <w:szCs w:val="22"/>
              </w:rPr>
              <w:lastRenderedPageBreak/>
              <w:t>Biannually – Specific to lead and copper tap sampling, means two 6-month sets of sampling must be conducted before a reduction can be considered.</w:t>
            </w:r>
          </w:p>
          <w:p w14:paraId="45902251" w14:textId="51C3C4CF" w:rsidR="00E328E6" w:rsidRDefault="00E328E6" w:rsidP="00601B6A">
            <w:pPr>
              <w:pStyle w:val="Default"/>
              <w:numPr>
                <w:ilvl w:val="0"/>
                <w:numId w:val="4"/>
              </w:numPr>
              <w:rPr>
                <w:rFonts w:ascii="Times New Roman" w:hAnsi="Times New Roman" w:cs="Times New Roman"/>
                <w:sz w:val="22"/>
                <w:szCs w:val="22"/>
              </w:rPr>
            </w:pPr>
            <w:r w:rsidRPr="0027454E">
              <w:rPr>
                <w:rFonts w:ascii="Times New Roman" w:hAnsi="Times New Roman" w:cs="Times New Roman"/>
                <w:sz w:val="22"/>
                <w:szCs w:val="22"/>
              </w:rPr>
              <w:t>Triennially – Every 3 years</w:t>
            </w:r>
          </w:p>
          <w:p w14:paraId="5E621609" w14:textId="75611305" w:rsidR="001D15FA" w:rsidRPr="0027454E" w:rsidRDefault="001D15FA" w:rsidP="001D15FA">
            <w:pPr>
              <w:pStyle w:val="Default"/>
              <w:numPr>
                <w:ilvl w:val="1"/>
                <w:numId w:val="4"/>
              </w:numPr>
              <w:rPr>
                <w:rFonts w:ascii="Times New Roman" w:hAnsi="Times New Roman" w:cs="Times New Roman"/>
                <w:sz w:val="22"/>
                <w:szCs w:val="22"/>
              </w:rPr>
            </w:pPr>
            <w:r>
              <w:rPr>
                <w:rFonts w:ascii="Times New Roman" w:hAnsi="Times New Roman" w:cs="Times New Roman"/>
                <w:sz w:val="22"/>
                <w:szCs w:val="22"/>
              </w:rPr>
              <w:t xml:space="preserve">DBPs are required to be sampled in a particular month in their sampling year if on Triennial/Annual.  </w:t>
            </w:r>
          </w:p>
          <w:p w14:paraId="7E8134C1" w14:textId="39C07575" w:rsidR="00601B6A" w:rsidRPr="0027454E" w:rsidRDefault="00601B6A" w:rsidP="00601B6A">
            <w:pPr>
              <w:pStyle w:val="Default"/>
              <w:numPr>
                <w:ilvl w:val="1"/>
                <w:numId w:val="4"/>
              </w:numPr>
              <w:rPr>
                <w:rFonts w:ascii="Times New Roman" w:hAnsi="Times New Roman" w:cs="Times New Roman"/>
                <w:sz w:val="22"/>
                <w:szCs w:val="22"/>
              </w:rPr>
            </w:pPr>
            <w:r w:rsidRPr="0027454E">
              <w:rPr>
                <w:rFonts w:ascii="Times New Roman" w:hAnsi="Times New Roman" w:cs="Times New Roman"/>
                <w:sz w:val="22"/>
                <w:szCs w:val="22"/>
              </w:rPr>
              <w:t>For lead and copper, sample during June</w:t>
            </w:r>
            <w:r w:rsidR="001D15FA">
              <w:rPr>
                <w:rFonts w:ascii="Times New Roman" w:hAnsi="Times New Roman" w:cs="Times New Roman"/>
                <w:sz w:val="22"/>
                <w:szCs w:val="22"/>
              </w:rPr>
              <w:t xml:space="preserve"> 1</w:t>
            </w:r>
            <w:r w:rsidRPr="0027454E">
              <w:rPr>
                <w:rFonts w:ascii="Times New Roman" w:hAnsi="Times New Roman" w:cs="Times New Roman"/>
                <w:sz w:val="22"/>
                <w:szCs w:val="22"/>
              </w:rPr>
              <w:t xml:space="preserve"> – September</w:t>
            </w:r>
            <w:r w:rsidR="001D15FA">
              <w:rPr>
                <w:rFonts w:ascii="Times New Roman" w:hAnsi="Times New Roman" w:cs="Times New Roman"/>
                <w:sz w:val="22"/>
                <w:szCs w:val="22"/>
              </w:rPr>
              <w:t xml:space="preserve"> 30</w:t>
            </w:r>
            <w:r w:rsidRPr="0027454E">
              <w:rPr>
                <w:rFonts w:ascii="Times New Roman" w:hAnsi="Times New Roman" w:cs="Times New Roman"/>
                <w:sz w:val="22"/>
                <w:szCs w:val="22"/>
              </w:rPr>
              <w:t xml:space="preserve">. </w:t>
            </w:r>
          </w:p>
          <w:p w14:paraId="05963238" w14:textId="62400CB1" w:rsidR="00601B6A" w:rsidRPr="0027454E" w:rsidRDefault="00E328E6" w:rsidP="00601B6A">
            <w:pPr>
              <w:pStyle w:val="Default"/>
              <w:numPr>
                <w:ilvl w:val="0"/>
                <w:numId w:val="4"/>
              </w:numPr>
              <w:rPr>
                <w:rFonts w:ascii="Times New Roman" w:hAnsi="Times New Roman" w:cs="Times New Roman"/>
                <w:sz w:val="22"/>
                <w:szCs w:val="22"/>
              </w:rPr>
            </w:pPr>
            <w:r w:rsidRPr="0027454E">
              <w:rPr>
                <w:rFonts w:ascii="Times New Roman" w:hAnsi="Times New Roman" w:cs="Times New Roman"/>
                <w:sz w:val="22"/>
                <w:szCs w:val="22"/>
              </w:rPr>
              <w:t>Every 6 years or Every 9 years – Specific to Radiologicals</w:t>
            </w:r>
          </w:p>
        </w:tc>
      </w:tr>
      <w:tr w:rsidR="00E328E6" w:rsidRPr="0027454E" w14:paraId="2FC943FC" w14:textId="77777777" w:rsidTr="001D15FA">
        <w:trPr>
          <w:trHeight w:val="436"/>
        </w:trPr>
        <w:tc>
          <w:tcPr>
            <w:tcW w:w="3505" w:type="dxa"/>
          </w:tcPr>
          <w:p w14:paraId="0C7B124F" w14:textId="0D55AF61" w:rsidR="00E328E6"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lastRenderedPageBreak/>
              <w:t xml:space="preserve">Samples </w:t>
            </w:r>
            <w:r w:rsidR="00B515A6">
              <w:rPr>
                <w:rFonts w:ascii="Times New Roman" w:hAnsi="Times New Roman" w:cs="Times New Roman"/>
                <w:sz w:val="22"/>
                <w:szCs w:val="22"/>
              </w:rPr>
              <w:t xml:space="preserve">Next </w:t>
            </w:r>
            <w:r w:rsidRPr="0027454E">
              <w:rPr>
                <w:rFonts w:ascii="Times New Roman" w:hAnsi="Times New Roman" w:cs="Times New Roman"/>
                <w:sz w:val="22"/>
                <w:szCs w:val="22"/>
              </w:rPr>
              <w:t>Due</w:t>
            </w:r>
          </w:p>
        </w:tc>
        <w:tc>
          <w:tcPr>
            <w:tcW w:w="6393" w:type="dxa"/>
          </w:tcPr>
          <w:p w14:paraId="687A1D77" w14:textId="3BE7D6D0" w:rsidR="00E328E6"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This is the year</w:t>
            </w:r>
            <w:r w:rsidR="00881A71">
              <w:rPr>
                <w:rFonts w:ascii="Times New Roman" w:hAnsi="Times New Roman" w:cs="Times New Roman"/>
                <w:sz w:val="22"/>
                <w:szCs w:val="22"/>
              </w:rPr>
              <w:t xml:space="preserve"> </w:t>
            </w:r>
            <w:r w:rsidRPr="0027454E">
              <w:rPr>
                <w:rFonts w:ascii="Times New Roman" w:hAnsi="Times New Roman" w:cs="Times New Roman"/>
                <w:sz w:val="22"/>
                <w:szCs w:val="22"/>
              </w:rPr>
              <w:t>the next sampling will be required.</w:t>
            </w:r>
          </w:p>
        </w:tc>
      </w:tr>
      <w:tr w:rsidR="00B515A6" w:rsidRPr="0027454E" w14:paraId="5BAECE1E" w14:textId="77777777" w:rsidTr="005769AD">
        <w:tc>
          <w:tcPr>
            <w:tcW w:w="3505" w:type="dxa"/>
          </w:tcPr>
          <w:p w14:paraId="69B63340" w14:textId="2549A930" w:rsidR="00B515A6" w:rsidRPr="0027454E"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Sampling Period</w:t>
            </w:r>
          </w:p>
        </w:tc>
        <w:tc>
          <w:tcPr>
            <w:tcW w:w="6393" w:type="dxa"/>
          </w:tcPr>
          <w:p w14:paraId="0DD912B1" w14:textId="0A20D545" w:rsidR="00B515A6" w:rsidRPr="0027454E"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Specific month or week during the year in which sampling must be conducted</w:t>
            </w:r>
          </w:p>
        </w:tc>
      </w:tr>
      <w:tr w:rsidR="00E328E6" w:rsidRPr="0027454E" w14:paraId="435F3DAA" w14:textId="77777777" w:rsidTr="005769AD">
        <w:tc>
          <w:tcPr>
            <w:tcW w:w="3505" w:type="dxa"/>
          </w:tcPr>
          <w:p w14:paraId="72A8FF26" w14:textId="2032ABE7" w:rsidR="00E328E6"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Location</w:t>
            </w:r>
          </w:p>
        </w:tc>
        <w:tc>
          <w:tcPr>
            <w:tcW w:w="6393" w:type="dxa"/>
          </w:tcPr>
          <w:p w14:paraId="12D7716C" w14:textId="77777777" w:rsidR="00E328E6"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 xml:space="preserve">Indicates where samples should be taken.  </w:t>
            </w:r>
          </w:p>
          <w:p w14:paraId="2D4B14D1" w14:textId="20A031F9" w:rsidR="00E328E6" w:rsidRPr="0027454E" w:rsidRDefault="00E328E6" w:rsidP="00427C9B">
            <w:pPr>
              <w:pStyle w:val="Default"/>
              <w:rPr>
                <w:rFonts w:ascii="Times New Roman" w:hAnsi="Times New Roman" w:cs="Times New Roman"/>
                <w:sz w:val="22"/>
                <w:szCs w:val="22"/>
              </w:rPr>
            </w:pPr>
          </w:p>
          <w:p w14:paraId="3CA9E0F8" w14:textId="25250093" w:rsidR="00E328E6"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 xml:space="preserve">Location is indicated as Entry for most systems with single plants.  Systems with multiple water plants, this field indicates the number </w:t>
            </w:r>
            <w:r w:rsidR="00AA2CE6" w:rsidRPr="0027454E">
              <w:rPr>
                <w:rFonts w:ascii="Times New Roman" w:hAnsi="Times New Roman" w:cs="Times New Roman"/>
                <w:sz w:val="22"/>
                <w:szCs w:val="22"/>
              </w:rPr>
              <w:t>(</w:t>
            </w:r>
            <w:r w:rsidR="00B515A6">
              <w:rPr>
                <w:rFonts w:ascii="Times New Roman" w:hAnsi="Times New Roman" w:cs="Times New Roman"/>
                <w:sz w:val="22"/>
                <w:szCs w:val="22"/>
              </w:rPr>
              <w:t>Plant 1</w:t>
            </w:r>
            <w:r w:rsidR="00AA2CE6" w:rsidRPr="0027454E">
              <w:rPr>
                <w:rFonts w:ascii="Times New Roman" w:hAnsi="Times New Roman" w:cs="Times New Roman"/>
                <w:sz w:val="22"/>
                <w:szCs w:val="22"/>
              </w:rPr>
              <w:t xml:space="preserve">, 001) </w:t>
            </w:r>
            <w:r w:rsidRPr="0027454E">
              <w:rPr>
                <w:rFonts w:ascii="Times New Roman" w:hAnsi="Times New Roman" w:cs="Times New Roman"/>
                <w:sz w:val="22"/>
                <w:szCs w:val="22"/>
              </w:rPr>
              <w:t>or shortened name for the plant.</w:t>
            </w:r>
          </w:p>
          <w:p w14:paraId="5851560E" w14:textId="5D5CD1F3" w:rsidR="00E328E6" w:rsidRPr="0027454E" w:rsidRDefault="00E328E6" w:rsidP="00B515A6">
            <w:pPr>
              <w:pStyle w:val="Default"/>
              <w:rPr>
                <w:rFonts w:ascii="Times New Roman" w:hAnsi="Times New Roman" w:cs="Times New Roman"/>
                <w:sz w:val="22"/>
                <w:szCs w:val="22"/>
              </w:rPr>
            </w:pPr>
          </w:p>
        </w:tc>
      </w:tr>
      <w:tr w:rsidR="00B515A6" w:rsidRPr="0027454E" w14:paraId="0EBE88C9" w14:textId="77777777" w:rsidTr="005769AD">
        <w:tc>
          <w:tcPr>
            <w:tcW w:w="3505" w:type="dxa"/>
          </w:tcPr>
          <w:p w14:paraId="16D2DFD4" w14:textId="1E853534" w:rsidR="00B515A6" w:rsidRPr="0027454E"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 xml:space="preserve">Location Description </w:t>
            </w:r>
          </w:p>
        </w:tc>
        <w:tc>
          <w:tcPr>
            <w:tcW w:w="6393" w:type="dxa"/>
          </w:tcPr>
          <w:p w14:paraId="15B74A66" w14:textId="77777777" w:rsidR="00B515A6"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Extended description of the location.</w:t>
            </w:r>
          </w:p>
          <w:p w14:paraId="2FE89CF6" w14:textId="313301B8" w:rsidR="00B515A6" w:rsidRDefault="00B515A6" w:rsidP="00427C9B">
            <w:pPr>
              <w:pStyle w:val="Default"/>
              <w:rPr>
                <w:rFonts w:ascii="Times New Roman" w:hAnsi="Times New Roman" w:cs="Times New Roman"/>
                <w:sz w:val="22"/>
                <w:szCs w:val="22"/>
              </w:rPr>
            </w:pPr>
          </w:p>
          <w:p w14:paraId="7F0922DE" w14:textId="77777777" w:rsidR="00B515A6" w:rsidRDefault="00B515A6" w:rsidP="00B515A6">
            <w:pPr>
              <w:pStyle w:val="Default"/>
              <w:rPr>
                <w:rFonts w:ascii="Times New Roman" w:hAnsi="Times New Roman" w:cs="Times New Roman"/>
                <w:sz w:val="22"/>
                <w:szCs w:val="22"/>
              </w:rPr>
            </w:pPr>
            <w:r w:rsidRPr="0027454E">
              <w:rPr>
                <w:rFonts w:ascii="Times New Roman" w:hAnsi="Times New Roman" w:cs="Times New Roman"/>
                <w:sz w:val="22"/>
                <w:szCs w:val="22"/>
              </w:rPr>
              <w:t>DBP monitoring - this will indicate the sampling location, typically a physical address, as identified in the approved sampling plan.  Any changes to DBP monitoring locations must be requested and submitted to DEP for approval before sampling is conducted.</w:t>
            </w:r>
          </w:p>
          <w:p w14:paraId="0CD5BEE6" w14:textId="77777777" w:rsidR="00B515A6" w:rsidRDefault="00B515A6" w:rsidP="00427C9B">
            <w:pPr>
              <w:pStyle w:val="Default"/>
              <w:rPr>
                <w:rFonts w:ascii="Times New Roman" w:hAnsi="Times New Roman" w:cs="Times New Roman"/>
                <w:sz w:val="22"/>
                <w:szCs w:val="22"/>
              </w:rPr>
            </w:pPr>
          </w:p>
          <w:p w14:paraId="303AC6E5" w14:textId="77777777" w:rsidR="00B515A6" w:rsidRPr="0027454E" w:rsidRDefault="00B515A6" w:rsidP="00B515A6">
            <w:pPr>
              <w:pStyle w:val="Default"/>
              <w:rPr>
                <w:rFonts w:ascii="Times New Roman" w:hAnsi="Times New Roman" w:cs="Times New Roman"/>
                <w:sz w:val="22"/>
                <w:szCs w:val="22"/>
              </w:rPr>
            </w:pPr>
            <w:r>
              <w:rPr>
                <w:rFonts w:ascii="Times New Roman" w:hAnsi="Times New Roman" w:cs="Times New Roman"/>
                <w:sz w:val="22"/>
                <w:szCs w:val="22"/>
              </w:rPr>
              <w:t>Lead and Copper monitoring – the number of sites will be listed based on the population of the system and the status of the sampling (standard or reduced)</w:t>
            </w:r>
          </w:p>
          <w:p w14:paraId="32E177D2" w14:textId="33ADDC49" w:rsidR="00B515A6" w:rsidRPr="0027454E" w:rsidRDefault="00B515A6" w:rsidP="00427C9B">
            <w:pPr>
              <w:pStyle w:val="Default"/>
              <w:rPr>
                <w:rFonts w:ascii="Times New Roman" w:hAnsi="Times New Roman" w:cs="Times New Roman"/>
                <w:sz w:val="22"/>
                <w:szCs w:val="22"/>
              </w:rPr>
            </w:pPr>
          </w:p>
        </w:tc>
      </w:tr>
      <w:tr w:rsidR="00B515A6" w:rsidRPr="0027454E" w14:paraId="2C725D0F" w14:textId="77777777" w:rsidTr="005769AD">
        <w:tc>
          <w:tcPr>
            <w:tcW w:w="3505" w:type="dxa"/>
          </w:tcPr>
          <w:p w14:paraId="45AC033E" w14:textId="3D745879" w:rsidR="00B515A6"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Comments</w:t>
            </w:r>
          </w:p>
        </w:tc>
        <w:tc>
          <w:tcPr>
            <w:tcW w:w="6393" w:type="dxa"/>
          </w:tcPr>
          <w:p w14:paraId="73054699" w14:textId="78142A70" w:rsidR="00B515A6"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 xml:space="preserve">Any additional comments </w:t>
            </w:r>
          </w:p>
        </w:tc>
      </w:tr>
    </w:tbl>
    <w:p w14:paraId="7A75A791" w14:textId="4656D5A5" w:rsidR="00427C9B" w:rsidRPr="0027454E" w:rsidRDefault="00427C9B" w:rsidP="00427C9B">
      <w:pPr>
        <w:pStyle w:val="Default"/>
        <w:rPr>
          <w:rFonts w:ascii="Times New Roman" w:hAnsi="Times New Roman" w:cs="Times New Roman"/>
          <w:sz w:val="22"/>
          <w:szCs w:val="22"/>
        </w:rPr>
      </w:pPr>
    </w:p>
    <w:p w14:paraId="5FF9C368" w14:textId="18055EF9" w:rsidR="00601B6A" w:rsidRDefault="00EB6B0E" w:rsidP="00601B6A">
      <w:pPr>
        <w:pStyle w:val="Default"/>
        <w:rPr>
          <w:rFonts w:ascii="Times New Roman" w:hAnsi="Times New Roman" w:cs="Times New Roman"/>
          <w:sz w:val="22"/>
          <w:szCs w:val="22"/>
        </w:rPr>
      </w:pPr>
      <w:r w:rsidRPr="0027454E">
        <w:rPr>
          <w:rFonts w:ascii="Times New Roman" w:hAnsi="Times New Roman" w:cs="Times New Roman"/>
          <w:b/>
          <w:bCs/>
          <w:sz w:val="22"/>
          <w:szCs w:val="22"/>
        </w:rPr>
        <w:t xml:space="preserve">All </w:t>
      </w:r>
      <w:r w:rsidR="0027454E" w:rsidRPr="0027454E">
        <w:rPr>
          <w:rFonts w:ascii="Times New Roman" w:hAnsi="Times New Roman" w:cs="Times New Roman"/>
          <w:b/>
          <w:bCs/>
          <w:sz w:val="22"/>
          <w:szCs w:val="22"/>
        </w:rPr>
        <w:t xml:space="preserve">Lead and Copper Tap Sampling and </w:t>
      </w:r>
      <w:r w:rsidRPr="0027454E">
        <w:rPr>
          <w:rFonts w:ascii="Times New Roman" w:hAnsi="Times New Roman" w:cs="Times New Roman"/>
          <w:b/>
          <w:bCs/>
          <w:sz w:val="22"/>
          <w:szCs w:val="22"/>
        </w:rPr>
        <w:t xml:space="preserve">DBPs </w:t>
      </w:r>
      <w:r w:rsidRPr="0027454E">
        <w:rPr>
          <w:rFonts w:ascii="Times New Roman" w:hAnsi="Times New Roman" w:cs="Times New Roman"/>
          <w:sz w:val="22"/>
          <w:szCs w:val="22"/>
        </w:rPr>
        <w:t xml:space="preserve">must be sampling in accordance with approved plan. Plans can be found in OCULUS under the profile </w:t>
      </w:r>
      <w:r w:rsidRPr="0027454E">
        <w:rPr>
          <w:rFonts w:ascii="Times New Roman" w:hAnsi="Times New Roman" w:cs="Times New Roman"/>
          <w:i/>
          <w:iCs/>
          <w:sz w:val="22"/>
          <w:szCs w:val="22"/>
        </w:rPr>
        <w:t xml:space="preserve">Sampling </w:t>
      </w:r>
      <w:r w:rsidRPr="0027454E">
        <w:rPr>
          <w:rFonts w:ascii="Times New Roman" w:hAnsi="Times New Roman" w:cs="Times New Roman"/>
          <w:sz w:val="22"/>
          <w:szCs w:val="22"/>
        </w:rPr>
        <w:t xml:space="preserve">and the document type </w:t>
      </w:r>
      <w:r w:rsidR="00F6485A" w:rsidRPr="0027454E">
        <w:rPr>
          <w:rFonts w:ascii="Times New Roman" w:hAnsi="Times New Roman" w:cs="Times New Roman"/>
          <w:i/>
          <w:iCs/>
          <w:sz w:val="22"/>
          <w:szCs w:val="22"/>
        </w:rPr>
        <w:t>Monitoring Related</w:t>
      </w:r>
      <w:r w:rsidR="0027454E" w:rsidRPr="0027454E">
        <w:rPr>
          <w:rFonts w:ascii="Times New Roman" w:hAnsi="Times New Roman" w:cs="Times New Roman"/>
          <w:i/>
          <w:iCs/>
          <w:sz w:val="22"/>
          <w:szCs w:val="22"/>
        </w:rPr>
        <w:t xml:space="preserve"> or Disinfection Byproducts Related or Lead and Copper Related</w:t>
      </w:r>
      <w:r w:rsidR="00F6485A" w:rsidRPr="0027454E">
        <w:rPr>
          <w:rFonts w:ascii="Times New Roman" w:hAnsi="Times New Roman" w:cs="Times New Roman"/>
          <w:i/>
          <w:iCs/>
          <w:sz w:val="22"/>
          <w:szCs w:val="22"/>
        </w:rPr>
        <w:t xml:space="preserve">.  </w:t>
      </w:r>
      <w:r w:rsidRPr="0027454E">
        <w:rPr>
          <w:rFonts w:ascii="Times New Roman" w:hAnsi="Times New Roman" w:cs="Times New Roman"/>
          <w:sz w:val="22"/>
          <w:szCs w:val="22"/>
        </w:rPr>
        <w:t>Contact</w:t>
      </w:r>
      <w:r w:rsidR="0027454E" w:rsidRPr="0027454E">
        <w:rPr>
          <w:rFonts w:ascii="Times New Roman" w:hAnsi="Times New Roman" w:cs="Times New Roman"/>
          <w:sz w:val="22"/>
          <w:szCs w:val="22"/>
        </w:rPr>
        <w:t xml:space="preserve"> your inspector</w:t>
      </w:r>
      <w:r w:rsidRPr="0027454E">
        <w:rPr>
          <w:rFonts w:ascii="Times New Roman" w:hAnsi="Times New Roman" w:cs="Times New Roman"/>
          <w:sz w:val="22"/>
          <w:szCs w:val="22"/>
        </w:rPr>
        <w:t xml:space="preserve"> if you cannot locate a sampling plan</w:t>
      </w:r>
      <w:r w:rsidR="0027454E" w:rsidRPr="0027454E">
        <w:rPr>
          <w:rFonts w:ascii="Times New Roman" w:hAnsi="Times New Roman" w:cs="Times New Roman"/>
          <w:sz w:val="22"/>
          <w:szCs w:val="22"/>
        </w:rPr>
        <w:t>.</w:t>
      </w:r>
      <w:r w:rsidR="00721ACE">
        <w:rPr>
          <w:rFonts w:ascii="Times New Roman" w:hAnsi="Times New Roman" w:cs="Times New Roman"/>
          <w:sz w:val="22"/>
          <w:szCs w:val="22"/>
        </w:rPr>
        <w:t xml:space="preserve">  Blank sampling plans can be found on the </w:t>
      </w:r>
      <w:hyperlink r:id="rId8" w:history="1">
        <w:r w:rsidR="00721ACE" w:rsidRPr="00721ACE">
          <w:rPr>
            <w:rStyle w:val="Hyperlink"/>
            <w:rFonts w:ascii="Times New Roman" w:hAnsi="Times New Roman" w:cs="Times New Roman"/>
            <w:sz w:val="22"/>
            <w:szCs w:val="22"/>
          </w:rPr>
          <w:t>Drinki</w:t>
        </w:r>
        <w:r w:rsidR="00721ACE" w:rsidRPr="00721ACE">
          <w:rPr>
            <w:rStyle w:val="Hyperlink"/>
            <w:rFonts w:ascii="Times New Roman" w:hAnsi="Times New Roman" w:cs="Times New Roman"/>
            <w:sz w:val="22"/>
            <w:szCs w:val="22"/>
          </w:rPr>
          <w:t>n</w:t>
        </w:r>
        <w:r w:rsidR="00721ACE" w:rsidRPr="00721ACE">
          <w:rPr>
            <w:rStyle w:val="Hyperlink"/>
            <w:rFonts w:ascii="Times New Roman" w:hAnsi="Times New Roman" w:cs="Times New Roman"/>
            <w:sz w:val="22"/>
            <w:szCs w:val="22"/>
          </w:rPr>
          <w:t>g Water Forms Page</w:t>
        </w:r>
      </w:hyperlink>
      <w:r w:rsidR="00721ACE">
        <w:rPr>
          <w:rFonts w:ascii="Times New Roman" w:hAnsi="Times New Roman" w:cs="Times New Roman"/>
          <w:sz w:val="22"/>
          <w:szCs w:val="22"/>
        </w:rPr>
        <w:t>.</w:t>
      </w:r>
    </w:p>
    <w:p w14:paraId="40C96C9C" w14:textId="77777777" w:rsidR="001D15FA" w:rsidRDefault="001D15FA" w:rsidP="00601B6A">
      <w:pPr>
        <w:pStyle w:val="Default"/>
        <w:rPr>
          <w:rFonts w:ascii="Times New Roman" w:hAnsi="Times New Roman" w:cs="Times New Roman"/>
          <w:sz w:val="22"/>
          <w:szCs w:val="22"/>
        </w:rPr>
      </w:pPr>
    </w:p>
    <w:p w14:paraId="6A87D051" w14:textId="5045823F" w:rsidR="001D15FA" w:rsidRDefault="001D15FA" w:rsidP="00601B6A">
      <w:pPr>
        <w:pStyle w:val="Default"/>
        <w:rPr>
          <w:rFonts w:ascii="Times New Roman" w:hAnsi="Times New Roman" w:cs="Times New Roman"/>
          <w:sz w:val="22"/>
          <w:szCs w:val="22"/>
        </w:rPr>
      </w:pPr>
      <w:r w:rsidRPr="001D15FA">
        <w:rPr>
          <w:rFonts w:ascii="Times New Roman" w:hAnsi="Times New Roman" w:cs="Times New Roman"/>
          <w:b/>
          <w:bCs/>
          <w:sz w:val="22"/>
          <w:szCs w:val="22"/>
        </w:rPr>
        <w:t>Asbestos Sampling</w:t>
      </w:r>
      <w:r>
        <w:rPr>
          <w:rFonts w:ascii="Times New Roman" w:hAnsi="Times New Roman" w:cs="Times New Roman"/>
          <w:b/>
          <w:bCs/>
          <w:sz w:val="22"/>
          <w:szCs w:val="22"/>
        </w:rPr>
        <w:t xml:space="preserve"> </w:t>
      </w:r>
      <w:r>
        <w:rPr>
          <w:rFonts w:ascii="Times New Roman" w:hAnsi="Times New Roman" w:cs="Times New Roman"/>
          <w:sz w:val="22"/>
          <w:szCs w:val="22"/>
        </w:rPr>
        <w:t xml:space="preserve">is only required for systems that have asbestos in distribution system piping.  Sampling should be done according to a DEP approved Asbestos Sampling Plan. For systems that have no </w:t>
      </w:r>
      <w:r w:rsidR="00EB2D15">
        <w:rPr>
          <w:rFonts w:ascii="Times New Roman" w:hAnsi="Times New Roman" w:cs="Times New Roman"/>
          <w:sz w:val="22"/>
          <w:szCs w:val="22"/>
        </w:rPr>
        <w:t>a</w:t>
      </w:r>
      <w:r>
        <w:rPr>
          <w:rFonts w:ascii="Times New Roman" w:hAnsi="Times New Roman" w:cs="Times New Roman"/>
          <w:sz w:val="22"/>
          <w:szCs w:val="22"/>
        </w:rPr>
        <w:t>sbestos in their system</w:t>
      </w:r>
      <w:r w:rsidR="00EB2D15">
        <w:rPr>
          <w:rFonts w:ascii="Times New Roman" w:hAnsi="Times New Roman" w:cs="Times New Roman"/>
          <w:sz w:val="22"/>
          <w:szCs w:val="22"/>
        </w:rPr>
        <w:t xml:space="preserve"> and are due this year (Non-transient noncommunities)</w:t>
      </w:r>
      <w:r>
        <w:rPr>
          <w:rFonts w:ascii="Times New Roman" w:hAnsi="Times New Roman" w:cs="Times New Roman"/>
          <w:sz w:val="22"/>
          <w:szCs w:val="22"/>
        </w:rPr>
        <w:t xml:space="preserve"> a 9-year waiver is available and MUST be submitted to our office before the </w:t>
      </w:r>
      <w:r w:rsidR="00EB2D15">
        <w:rPr>
          <w:rFonts w:ascii="Times New Roman" w:hAnsi="Times New Roman" w:cs="Times New Roman"/>
          <w:sz w:val="22"/>
          <w:szCs w:val="22"/>
        </w:rPr>
        <w:t>end of 202</w:t>
      </w:r>
      <w:r w:rsidR="00C42C97">
        <w:rPr>
          <w:rFonts w:ascii="Times New Roman" w:hAnsi="Times New Roman" w:cs="Times New Roman"/>
          <w:sz w:val="22"/>
          <w:szCs w:val="22"/>
        </w:rPr>
        <w:t>3</w:t>
      </w:r>
      <w:r>
        <w:rPr>
          <w:rFonts w:ascii="Times New Roman" w:hAnsi="Times New Roman" w:cs="Times New Roman"/>
          <w:sz w:val="22"/>
          <w:szCs w:val="22"/>
        </w:rPr>
        <w:t xml:space="preserve">. </w:t>
      </w:r>
      <w:hyperlink r:id="rId9" w:history="1">
        <w:r>
          <w:rPr>
            <w:rStyle w:val="Hyperlink"/>
            <w:rFonts w:ascii="Times New Roman" w:hAnsi="Times New Roman" w:cs="Times New Roman"/>
            <w:sz w:val="22"/>
            <w:szCs w:val="22"/>
          </w:rPr>
          <w:t>Asbes</w:t>
        </w:r>
        <w:r>
          <w:rPr>
            <w:rStyle w:val="Hyperlink"/>
            <w:rFonts w:ascii="Times New Roman" w:hAnsi="Times New Roman" w:cs="Times New Roman"/>
            <w:sz w:val="22"/>
            <w:szCs w:val="22"/>
          </w:rPr>
          <w:t>t</w:t>
        </w:r>
        <w:r>
          <w:rPr>
            <w:rStyle w:val="Hyperlink"/>
            <w:rFonts w:ascii="Times New Roman" w:hAnsi="Times New Roman" w:cs="Times New Roman"/>
            <w:sz w:val="22"/>
            <w:szCs w:val="22"/>
          </w:rPr>
          <w:t>os-Free Waiver</w:t>
        </w:r>
      </w:hyperlink>
    </w:p>
    <w:p w14:paraId="035E8B21" w14:textId="77777777" w:rsidR="002926D2" w:rsidRPr="001D15FA" w:rsidRDefault="002926D2" w:rsidP="00601B6A">
      <w:pPr>
        <w:pStyle w:val="Default"/>
        <w:rPr>
          <w:rFonts w:ascii="Times New Roman" w:hAnsi="Times New Roman" w:cs="Times New Roman"/>
          <w:b/>
          <w:bCs/>
          <w:sz w:val="22"/>
          <w:szCs w:val="22"/>
        </w:rPr>
      </w:pPr>
    </w:p>
    <w:p w14:paraId="037B2B03" w14:textId="6061655A" w:rsidR="001D15FA" w:rsidRPr="002926D2" w:rsidRDefault="001D15FA" w:rsidP="00601B6A">
      <w:pPr>
        <w:pStyle w:val="Default"/>
        <w:rPr>
          <w:rFonts w:ascii="Times New Roman" w:hAnsi="Times New Roman" w:cs="Times New Roman"/>
          <w:i/>
          <w:iCs/>
          <w:sz w:val="22"/>
          <w:szCs w:val="22"/>
        </w:rPr>
        <w:sectPr w:rsidR="001D15FA" w:rsidRPr="002926D2" w:rsidSect="003226B6">
          <w:headerReference w:type="default" r:id="rId10"/>
          <w:footerReference w:type="default" r:id="rId11"/>
          <w:headerReference w:type="first" r:id="rId12"/>
          <w:pgSz w:w="12240" w:h="16340"/>
          <w:pgMar w:top="1885" w:right="1061" w:bottom="1530" w:left="1271" w:header="720" w:footer="720" w:gutter="0"/>
          <w:cols w:space="720"/>
          <w:noEndnote/>
          <w:titlePg/>
          <w:docGrid w:linePitch="326"/>
        </w:sectPr>
      </w:pPr>
      <w:r w:rsidRPr="002926D2">
        <w:rPr>
          <w:rFonts w:ascii="Times New Roman" w:hAnsi="Times New Roman" w:cs="Times New Roman"/>
          <w:b/>
          <w:bCs/>
          <w:sz w:val="22"/>
          <w:szCs w:val="22"/>
        </w:rPr>
        <w:t xml:space="preserve"> </w:t>
      </w:r>
      <w:r w:rsidR="002926D2" w:rsidRPr="002926D2">
        <w:rPr>
          <w:rFonts w:ascii="Times New Roman" w:hAnsi="Times New Roman" w:cs="Times New Roman"/>
          <w:b/>
          <w:bCs/>
          <w:sz w:val="22"/>
          <w:szCs w:val="22"/>
        </w:rPr>
        <w:t>SOC Waiver</w:t>
      </w:r>
      <w:r w:rsidR="002926D2">
        <w:rPr>
          <w:rFonts w:ascii="Times New Roman" w:hAnsi="Times New Roman" w:cs="Times New Roman"/>
          <w:b/>
          <w:bCs/>
          <w:sz w:val="22"/>
          <w:szCs w:val="22"/>
        </w:rPr>
        <w:t>s</w:t>
      </w:r>
      <w:r w:rsidR="002926D2">
        <w:rPr>
          <w:rFonts w:ascii="Times New Roman" w:hAnsi="Times New Roman" w:cs="Times New Roman"/>
          <w:sz w:val="22"/>
          <w:szCs w:val="22"/>
        </w:rPr>
        <w:t xml:space="preserve"> are available for Community systems that have complied with all provisions of their last sanitary survey, and whose nitrate results have not exceeded 5 milligrams per liter.   A site map should accompany the waiver request that includes any potential SOC spills, storage, or manufacturing that’s occurred within 500 meters of all active wells.   A copy of the SOC waiver is located here:   </w:t>
      </w:r>
      <w:hyperlink r:id="rId13" w:history="1">
        <w:r w:rsidR="002926D2" w:rsidRPr="002926D2">
          <w:rPr>
            <w:rStyle w:val="Hyperlink"/>
            <w:rFonts w:ascii="Times New Roman" w:hAnsi="Times New Roman" w:cs="Times New Roman"/>
            <w:sz w:val="22"/>
            <w:szCs w:val="22"/>
          </w:rPr>
          <w:t>Reduce Monitoring Application Questionnaire for Synesthet</w:t>
        </w:r>
        <w:r w:rsidR="002926D2" w:rsidRPr="002926D2">
          <w:rPr>
            <w:rStyle w:val="Hyperlink"/>
            <w:rFonts w:ascii="Times New Roman" w:hAnsi="Times New Roman" w:cs="Times New Roman"/>
            <w:sz w:val="22"/>
            <w:szCs w:val="22"/>
          </w:rPr>
          <w:t>i</w:t>
        </w:r>
        <w:r w:rsidR="002926D2" w:rsidRPr="002926D2">
          <w:rPr>
            <w:rStyle w:val="Hyperlink"/>
            <w:rFonts w:ascii="Times New Roman" w:hAnsi="Times New Roman" w:cs="Times New Roman"/>
            <w:sz w:val="22"/>
            <w:szCs w:val="22"/>
          </w:rPr>
          <w:t>c Organic Contaminants</w:t>
        </w:r>
      </w:hyperlink>
      <w:r w:rsidR="002926D2">
        <w:rPr>
          <w:rFonts w:ascii="Times New Roman" w:hAnsi="Times New Roman" w:cs="Times New Roman"/>
          <w:sz w:val="22"/>
          <w:szCs w:val="22"/>
        </w:rPr>
        <w:t xml:space="preserve"> </w:t>
      </w:r>
    </w:p>
    <w:p w14:paraId="526E939D" w14:textId="77777777" w:rsidR="00EE6D20" w:rsidRPr="0027454E" w:rsidRDefault="00EE6D20" w:rsidP="00EE6D20">
      <w:pPr>
        <w:pStyle w:val="Default"/>
        <w:jc w:val="center"/>
        <w:rPr>
          <w:rFonts w:ascii="Times New Roman" w:hAnsi="Times New Roman" w:cs="Times New Roman"/>
          <w:sz w:val="22"/>
          <w:szCs w:val="22"/>
        </w:rPr>
      </w:pPr>
    </w:p>
    <w:p w14:paraId="0EAA5612" w14:textId="03E76372" w:rsidR="00427C9B" w:rsidRPr="0027454E" w:rsidRDefault="00EE6D20" w:rsidP="00601B6A">
      <w:pPr>
        <w:pStyle w:val="Default"/>
        <w:rPr>
          <w:rFonts w:ascii="Times New Roman" w:hAnsi="Times New Roman" w:cs="Times New Roman"/>
          <w:sz w:val="22"/>
          <w:szCs w:val="22"/>
        </w:rPr>
      </w:pPr>
      <w:r w:rsidRPr="0027454E">
        <w:rPr>
          <w:rFonts w:ascii="Times New Roman" w:hAnsi="Times New Roman" w:cs="Times New Roman"/>
          <w:sz w:val="22"/>
          <w:szCs w:val="22"/>
        </w:rPr>
        <w:t xml:space="preserve">As you review the monitoring schedules spreadsheet, you can use the below table to document the information into an easy-to-post format.  </w:t>
      </w:r>
    </w:p>
    <w:p w14:paraId="3BC4B1D7" w14:textId="7C5EAA68" w:rsidR="00EE6D20" w:rsidRPr="0027454E" w:rsidRDefault="00EE6D20" w:rsidP="00601B6A">
      <w:pPr>
        <w:pStyle w:val="Default"/>
        <w:rPr>
          <w:rFonts w:ascii="Times New Roman" w:hAnsi="Times New Roman" w:cs="Times New Roman"/>
          <w:sz w:val="22"/>
          <w:szCs w:val="22"/>
        </w:rPr>
      </w:pPr>
    </w:p>
    <w:p w14:paraId="56BC416E" w14:textId="4BDE09C7" w:rsidR="00EE6D20" w:rsidRPr="0027454E" w:rsidRDefault="00EE6D20" w:rsidP="00601B6A">
      <w:pPr>
        <w:pStyle w:val="Default"/>
        <w:rPr>
          <w:rFonts w:ascii="Times New Roman" w:hAnsi="Times New Roman" w:cs="Times New Roman"/>
          <w:sz w:val="22"/>
          <w:szCs w:val="22"/>
        </w:rPr>
      </w:pPr>
      <w:r w:rsidRPr="0027454E">
        <w:rPr>
          <w:rFonts w:ascii="Times New Roman" w:hAnsi="Times New Roman" w:cs="Times New Roman"/>
          <w:sz w:val="22"/>
          <w:szCs w:val="22"/>
        </w:rPr>
        <w:t>PWS ID No. ___________________________</w:t>
      </w:r>
      <w:r w:rsidRPr="0027454E">
        <w:rPr>
          <w:rFonts w:ascii="Times New Roman" w:hAnsi="Times New Roman" w:cs="Times New Roman"/>
          <w:sz w:val="22"/>
          <w:szCs w:val="22"/>
        </w:rPr>
        <w:tab/>
        <w:t>PWS Name ________________________________________</w:t>
      </w:r>
    </w:p>
    <w:p w14:paraId="0B37F27F" w14:textId="77777777" w:rsidR="00EE6D20" w:rsidRPr="0027454E" w:rsidRDefault="00EE6D20" w:rsidP="00601B6A">
      <w:pPr>
        <w:pStyle w:val="Default"/>
        <w:rPr>
          <w:rFonts w:ascii="Times New Roman" w:hAnsi="Times New Roman" w:cs="Times New Roman"/>
          <w:sz w:val="22"/>
          <w:szCs w:val="22"/>
        </w:rPr>
      </w:pPr>
    </w:p>
    <w:tbl>
      <w:tblPr>
        <w:tblStyle w:val="PlainTable2"/>
        <w:tblW w:w="5018" w:type="pct"/>
        <w:tblInd w:w="-25" w:type="dxa"/>
        <w:tblLayout w:type="fixed"/>
        <w:tblLook w:val="0020" w:firstRow="1" w:lastRow="0" w:firstColumn="0" w:lastColumn="0" w:noHBand="0" w:noVBand="0"/>
        <w:tblCaption w:val="Chemical Monitoring Table"/>
      </w:tblPr>
      <w:tblGrid>
        <w:gridCol w:w="1279"/>
        <w:gridCol w:w="1170"/>
        <w:gridCol w:w="1530"/>
        <w:gridCol w:w="1260"/>
        <w:gridCol w:w="1532"/>
        <w:gridCol w:w="3163"/>
      </w:tblGrid>
      <w:tr w:rsidR="00EE6D20" w:rsidRPr="0027454E" w14:paraId="0B9EF831" w14:textId="77777777" w:rsidTr="00EE6D20">
        <w:trPr>
          <w:cnfStyle w:val="100000000000" w:firstRow="1" w:lastRow="0" w:firstColumn="0" w:lastColumn="0" w:oddVBand="0" w:evenVBand="0" w:oddHBand="0"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5000" w:type="pct"/>
            <w:gridSpan w:val="6"/>
          </w:tcPr>
          <w:p w14:paraId="4C2391D8" w14:textId="77777777" w:rsidR="00EE6D20" w:rsidRPr="0027454E" w:rsidRDefault="00EE6D20" w:rsidP="001E67A3">
            <w:pPr>
              <w:pStyle w:val="Heading1"/>
              <w:contextualSpacing/>
              <w:rPr>
                <w:b/>
                <w:sz w:val="22"/>
                <w:szCs w:val="22"/>
              </w:rPr>
            </w:pPr>
            <w:r w:rsidRPr="0027454E">
              <w:rPr>
                <w:b/>
                <w:sz w:val="22"/>
                <w:szCs w:val="22"/>
              </w:rPr>
              <w:t>Chemical Monitoring</w:t>
            </w:r>
          </w:p>
        </w:tc>
      </w:tr>
      <w:tr w:rsidR="00EE6D20" w:rsidRPr="0027454E" w14:paraId="1297BE28" w14:textId="77777777" w:rsidTr="00EE6D20">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644" w:type="pct"/>
          </w:tcPr>
          <w:p w14:paraId="6CA438C7" w14:textId="77777777" w:rsidR="00EE6D20" w:rsidRPr="0027454E" w:rsidRDefault="00EE6D20" w:rsidP="001E67A3">
            <w:pPr>
              <w:pStyle w:val="Heading1"/>
              <w:contextualSpacing/>
              <w:rPr>
                <w:sz w:val="22"/>
                <w:szCs w:val="22"/>
              </w:rPr>
            </w:pPr>
            <w:r w:rsidRPr="0027454E">
              <w:rPr>
                <w:sz w:val="22"/>
                <w:szCs w:val="22"/>
              </w:rPr>
              <w:t xml:space="preserve">Date Scheduled </w:t>
            </w:r>
          </w:p>
        </w:tc>
        <w:tc>
          <w:tcPr>
            <w:cnfStyle w:val="000001000000" w:firstRow="0" w:lastRow="0" w:firstColumn="0" w:lastColumn="0" w:oddVBand="0" w:evenVBand="1" w:oddHBand="0" w:evenHBand="0" w:firstRowFirstColumn="0" w:firstRowLastColumn="0" w:lastRowFirstColumn="0" w:lastRowLastColumn="0"/>
            <w:tcW w:w="589" w:type="pct"/>
          </w:tcPr>
          <w:p w14:paraId="73232758" w14:textId="77777777" w:rsidR="00EE6D20" w:rsidRPr="0027454E" w:rsidRDefault="00EE6D20" w:rsidP="001E67A3">
            <w:pPr>
              <w:pStyle w:val="Heading1"/>
              <w:contextualSpacing/>
              <w:rPr>
                <w:sz w:val="22"/>
                <w:szCs w:val="22"/>
              </w:rPr>
            </w:pPr>
            <w:r w:rsidRPr="0027454E">
              <w:rPr>
                <w:sz w:val="22"/>
                <w:szCs w:val="22"/>
              </w:rPr>
              <w:t>Date Sampled</w:t>
            </w:r>
          </w:p>
        </w:tc>
        <w:tc>
          <w:tcPr>
            <w:cnfStyle w:val="000010000000" w:firstRow="0" w:lastRow="0" w:firstColumn="0" w:lastColumn="0" w:oddVBand="1" w:evenVBand="0" w:oddHBand="0" w:evenHBand="0" w:firstRowFirstColumn="0" w:firstRowLastColumn="0" w:lastRowFirstColumn="0" w:lastRowLastColumn="0"/>
            <w:tcW w:w="770" w:type="pct"/>
          </w:tcPr>
          <w:p w14:paraId="26A96151" w14:textId="77777777" w:rsidR="00EE6D20" w:rsidRPr="0027454E" w:rsidRDefault="00EE6D20" w:rsidP="001E67A3">
            <w:pPr>
              <w:pStyle w:val="Heading1"/>
              <w:contextualSpacing/>
              <w:rPr>
                <w:sz w:val="22"/>
                <w:szCs w:val="22"/>
              </w:rPr>
            </w:pPr>
            <w:r w:rsidRPr="0027454E">
              <w:rPr>
                <w:sz w:val="22"/>
                <w:szCs w:val="22"/>
              </w:rPr>
              <w:t>Contaminant</w:t>
            </w:r>
          </w:p>
        </w:tc>
        <w:tc>
          <w:tcPr>
            <w:cnfStyle w:val="000001000000" w:firstRow="0" w:lastRow="0" w:firstColumn="0" w:lastColumn="0" w:oddVBand="0" w:evenVBand="1" w:oddHBand="0" w:evenHBand="0" w:firstRowFirstColumn="0" w:firstRowLastColumn="0" w:lastRowFirstColumn="0" w:lastRowLastColumn="0"/>
            <w:tcW w:w="634" w:type="pct"/>
          </w:tcPr>
          <w:p w14:paraId="4B072E20" w14:textId="77777777" w:rsidR="00EE6D20" w:rsidRPr="0027454E" w:rsidRDefault="00EE6D20" w:rsidP="001E67A3">
            <w:pPr>
              <w:contextualSpacing/>
              <w:jc w:val="center"/>
              <w:rPr>
                <w:b/>
                <w:sz w:val="22"/>
                <w:szCs w:val="22"/>
              </w:rPr>
            </w:pPr>
            <w:r w:rsidRPr="0027454E">
              <w:rPr>
                <w:b/>
                <w:sz w:val="22"/>
                <w:szCs w:val="22"/>
              </w:rPr>
              <w:t>Frequency</w:t>
            </w:r>
          </w:p>
        </w:tc>
        <w:tc>
          <w:tcPr>
            <w:cnfStyle w:val="000010000000" w:firstRow="0" w:lastRow="0" w:firstColumn="0" w:lastColumn="0" w:oddVBand="1" w:evenVBand="0" w:oddHBand="0" w:evenHBand="0" w:firstRowFirstColumn="0" w:firstRowLastColumn="0" w:lastRowFirstColumn="0" w:lastRowLastColumn="0"/>
            <w:tcW w:w="771" w:type="pct"/>
          </w:tcPr>
          <w:p w14:paraId="6D816953" w14:textId="77777777" w:rsidR="00EE6D20" w:rsidRPr="0027454E" w:rsidRDefault="00EE6D20" w:rsidP="001E67A3">
            <w:pPr>
              <w:contextualSpacing/>
              <w:jc w:val="center"/>
              <w:rPr>
                <w:b/>
                <w:sz w:val="22"/>
                <w:szCs w:val="22"/>
              </w:rPr>
            </w:pPr>
            <w:r w:rsidRPr="0027454E">
              <w:rPr>
                <w:b/>
                <w:sz w:val="22"/>
                <w:szCs w:val="22"/>
              </w:rPr>
              <w:t>Next Due</w:t>
            </w:r>
          </w:p>
        </w:tc>
        <w:tc>
          <w:tcPr>
            <w:cnfStyle w:val="000001000000" w:firstRow="0" w:lastRow="0" w:firstColumn="0" w:lastColumn="0" w:oddVBand="0" w:evenVBand="1" w:oddHBand="0" w:evenHBand="0" w:firstRowFirstColumn="0" w:firstRowLastColumn="0" w:lastRowFirstColumn="0" w:lastRowLastColumn="0"/>
            <w:tcW w:w="1593" w:type="pct"/>
          </w:tcPr>
          <w:p w14:paraId="18B27DFB" w14:textId="77777777" w:rsidR="00EE6D20" w:rsidRPr="0027454E" w:rsidRDefault="00EE6D20" w:rsidP="001E67A3">
            <w:pPr>
              <w:pStyle w:val="Heading1"/>
              <w:contextualSpacing/>
              <w:rPr>
                <w:sz w:val="22"/>
                <w:szCs w:val="22"/>
              </w:rPr>
            </w:pPr>
            <w:r w:rsidRPr="0027454E">
              <w:rPr>
                <w:sz w:val="22"/>
                <w:szCs w:val="22"/>
              </w:rPr>
              <w:t>Location &amp; Comments</w:t>
            </w:r>
          </w:p>
        </w:tc>
      </w:tr>
      <w:tr w:rsidR="00EE6D20" w:rsidRPr="0027454E" w14:paraId="1E20808C" w14:textId="77777777" w:rsidTr="00EE6D20">
        <w:trPr>
          <w:trHeight w:val="310"/>
        </w:trPr>
        <w:tc>
          <w:tcPr>
            <w:cnfStyle w:val="000010000000" w:firstRow="0" w:lastRow="0" w:firstColumn="0" w:lastColumn="0" w:oddVBand="1" w:evenVBand="0" w:oddHBand="0" w:evenHBand="0" w:firstRowFirstColumn="0" w:firstRowLastColumn="0" w:lastRowFirstColumn="0" w:lastRowLastColumn="0"/>
            <w:tcW w:w="644" w:type="pct"/>
          </w:tcPr>
          <w:p w14:paraId="6266D24E"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1D9EE902"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745DB010" w14:textId="77777777" w:rsidR="00EE6D20" w:rsidRPr="0027454E" w:rsidRDefault="00EE6D20" w:rsidP="001E67A3">
            <w:pPr>
              <w:contextualSpacing/>
              <w:rPr>
                <w:sz w:val="22"/>
                <w:szCs w:val="22"/>
              </w:rPr>
            </w:pPr>
            <w:r w:rsidRPr="0027454E">
              <w:rPr>
                <w:sz w:val="22"/>
                <w:szCs w:val="22"/>
              </w:rPr>
              <w:t>Nitrate &amp; Nitrite</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49385ACF" w14:textId="0C3F9E08" w:rsidR="00EE6D20" w:rsidRPr="0027454E" w:rsidRDefault="00EE6D20" w:rsidP="001E67A3">
            <w:pPr>
              <w:contextualSpacing/>
              <w:jc w:val="center"/>
              <w:rPr>
                <w:sz w:val="22"/>
                <w:szCs w:val="22"/>
              </w:rPr>
            </w:pPr>
            <w:r w:rsidRPr="0027454E">
              <w:rPr>
                <w:sz w:val="22"/>
                <w:szCs w:val="22"/>
              </w:rPr>
              <w:t>Annually</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1200A0ED" w14:textId="7E14ACE9" w:rsidR="00EE6D20" w:rsidRPr="0027454E" w:rsidRDefault="00EE6D20" w:rsidP="001E67A3">
            <w:pPr>
              <w:contextualSpacing/>
              <w:jc w:val="center"/>
              <w:rPr>
                <w:sz w:val="22"/>
                <w:szCs w:val="22"/>
              </w:rPr>
            </w:pPr>
            <w:r w:rsidRPr="0027454E">
              <w:rPr>
                <w:sz w:val="22"/>
                <w:szCs w:val="22"/>
              </w:rPr>
              <w:t>202</w:t>
            </w:r>
            <w:r w:rsidR="00C42C97">
              <w:rPr>
                <w:sz w:val="22"/>
                <w:szCs w:val="22"/>
              </w:rPr>
              <w:t>3</w:t>
            </w:r>
          </w:p>
        </w:tc>
        <w:tc>
          <w:tcPr>
            <w:cnfStyle w:val="000001000000" w:firstRow="0" w:lastRow="0" w:firstColumn="0" w:lastColumn="0" w:oddVBand="0" w:evenVBand="1" w:oddHBand="0" w:evenHBand="0" w:firstRowFirstColumn="0" w:firstRowLastColumn="0" w:lastRowFirstColumn="0" w:lastRowLastColumn="0"/>
            <w:tcW w:w="1593" w:type="pct"/>
            <w:vMerge w:val="restart"/>
            <w:vAlign w:val="center"/>
          </w:tcPr>
          <w:p w14:paraId="3D2A62E3" w14:textId="77777777" w:rsidR="00EE6D20" w:rsidRPr="0027454E" w:rsidRDefault="00EE6D20" w:rsidP="001E67A3">
            <w:pPr>
              <w:contextualSpacing/>
              <w:jc w:val="center"/>
              <w:rPr>
                <w:sz w:val="22"/>
                <w:szCs w:val="22"/>
              </w:rPr>
            </w:pPr>
            <w:r w:rsidRPr="0027454E">
              <w:rPr>
                <w:sz w:val="22"/>
                <w:szCs w:val="22"/>
              </w:rPr>
              <w:t xml:space="preserve">Sample at </w:t>
            </w:r>
            <w:r w:rsidRPr="0027454E">
              <w:rPr>
                <w:sz w:val="22"/>
                <w:szCs w:val="22"/>
                <w:u w:val="single"/>
              </w:rPr>
              <w:t>each</w:t>
            </w:r>
            <w:r w:rsidRPr="0027454E">
              <w:rPr>
                <w:sz w:val="22"/>
                <w:szCs w:val="22"/>
              </w:rPr>
              <w:t xml:space="preserve"> Point of Entry to the distribution (Raw/Well samples will not be accepted for compliance)</w:t>
            </w:r>
          </w:p>
        </w:tc>
      </w:tr>
      <w:tr w:rsidR="00EE6D20" w:rsidRPr="0027454E" w14:paraId="3D766B59" w14:textId="77777777" w:rsidTr="00EE6D20">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644" w:type="pct"/>
          </w:tcPr>
          <w:p w14:paraId="5FF04BC8" w14:textId="77777777" w:rsidR="00EE6D20" w:rsidRPr="0027454E" w:rsidRDefault="00EE6D20" w:rsidP="001E67A3">
            <w:pPr>
              <w:pStyle w:val="Header"/>
              <w:contextualSpacing/>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89" w:type="pct"/>
          </w:tcPr>
          <w:p w14:paraId="20981817" w14:textId="77777777" w:rsidR="00EE6D20" w:rsidRPr="0027454E" w:rsidRDefault="00EE6D20" w:rsidP="001E67A3">
            <w:pPr>
              <w:pStyle w:val="Header"/>
              <w:contextualSpacing/>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05E0FB6F" w14:textId="77777777" w:rsidR="00EE6D20" w:rsidRPr="0027454E" w:rsidRDefault="00EE6D20" w:rsidP="001E67A3">
            <w:pPr>
              <w:pStyle w:val="Header"/>
              <w:contextualSpacing/>
              <w:rPr>
                <w:rFonts w:ascii="Times New Roman" w:hAnsi="Times New Roman" w:cs="Times New Roman"/>
              </w:rPr>
            </w:pPr>
            <w:r w:rsidRPr="0027454E">
              <w:rPr>
                <w:rFonts w:ascii="Times New Roman" w:hAnsi="Times New Roman" w:cs="Times New Roman"/>
              </w:rPr>
              <w:t>Primary Inorganics</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231A72F8" w14:textId="031D446A"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48B95CED" w14:textId="3B902521"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Merge/>
            <w:vAlign w:val="center"/>
          </w:tcPr>
          <w:p w14:paraId="0A2EB8DB" w14:textId="77777777" w:rsidR="00EE6D20" w:rsidRPr="0027454E" w:rsidRDefault="00EE6D20" w:rsidP="001E67A3">
            <w:pPr>
              <w:contextualSpacing/>
              <w:rPr>
                <w:sz w:val="22"/>
                <w:szCs w:val="22"/>
              </w:rPr>
            </w:pPr>
          </w:p>
        </w:tc>
      </w:tr>
      <w:tr w:rsidR="00EE6D20" w:rsidRPr="0027454E" w14:paraId="5611C8B5" w14:textId="77777777" w:rsidTr="00EE6D20">
        <w:trPr>
          <w:trHeight w:val="360"/>
        </w:trPr>
        <w:tc>
          <w:tcPr>
            <w:cnfStyle w:val="000010000000" w:firstRow="0" w:lastRow="0" w:firstColumn="0" w:lastColumn="0" w:oddVBand="1" w:evenVBand="0" w:oddHBand="0" w:evenHBand="0" w:firstRowFirstColumn="0" w:firstRowLastColumn="0" w:lastRowFirstColumn="0" w:lastRowLastColumn="0"/>
            <w:tcW w:w="644" w:type="pct"/>
          </w:tcPr>
          <w:p w14:paraId="0300FB3F"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57B33F0E"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1E87E486" w14:textId="77777777" w:rsidR="00EE6D20" w:rsidRDefault="00EE6D20" w:rsidP="001E67A3">
            <w:pPr>
              <w:contextualSpacing/>
              <w:rPr>
                <w:sz w:val="22"/>
                <w:szCs w:val="22"/>
              </w:rPr>
            </w:pPr>
            <w:r w:rsidRPr="0027454E">
              <w:rPr>
                <w:sz w:val="22"/>
                <w:szCs w:val="22"/>
              </w:rPr>
              <w:t>Secondary Contaminants</w:t>
            </w:r>
          </w:p>
          <w:p w14:paraId="1286EB82" w14:textId="4C96E2BD" w:rsidR="00B515A6" w:rsidRPr="0027454E" w:rsidRDefault="00B515A6" w:rsidP="001E67A3">
            <w:pPr>
              <w:contextualSpacing/>
              <w:rPr>
                <w:sz w:val="22"/>
                <w:szCs w:val="22"/>
              </w:rPr>
            </w:pPr>
            <w:r>
              <w:rPr>
                <w:sz w:val="22"/>
                <w:szCs w:val="22"/>
              </w:rPr>
              <w:t>(CWS only)</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5D05A886" w14:textId="14D65646"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3D1F15C4" w14:textId="23ED417A"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Merge/>
            <w:vAlign w:val="center"/>
          </w:tcPr>
          <w:p w14:paraId="6C92C80F" w14:textId="77777777" w:rsidR="00EE6D20" w:rsidRPr="0027454E" w:rsidRDefault="00EE6D20" w:rsidP="001E67A3">
            <w:pPr>
              <w:contextualSpacing/>
              <w:rPr>
                <w:bCs/>
                <w:sz w:val="22"/>
                <w:szCs w:val="22"/>
              </w:rPr>
            </w:pPr>
          </w:p>
        </w:tc>
      </w:tr>
      <w:tr w:rsidR="00EE6D20" w:rsidRPr="0027454E" w14:paraId="54C86C6C" w14:textId="77777777" w:rsidTr="00EE6D20">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644" w:type="pct"/>
          </w:tcPr>
          <w:p w14:paraId="034D98E8"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52EFA4E4"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4E95A9E7" w14:textId="77777777" w:rsidR="00EE6D20" w:rsidRPr="0027454E" w:rsidRDefault="00EE6D20" w:rsidP="001E67A3">
            <w:pPr>
              <w:contextualSpacing/>
              <w:rPr>
                <w:sz w:val="22"/>
                <w:szCs w:val="22"/>
              </w:rPr>
            </w:pPr>
            <w:r w:rsidRPr="0027454E">
              <w:rPr>
                <w:sz w:val="22"/>
                <w:szCs w:val="22"/>
              </w:rPr>
              <w:t>Volatile Organics (VOCs)</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5EA3E30D" w14:textId="7DB88502"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504A4549" w14:textId="5FF59AAB"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Merge/>
            <w:vAlign w:val="center"/>
          </w:tcPr>
          <w:p w14:paraId="4C50DA02" w14:textId="77777777" w:rsidR="00EE6D20" w:rsidRPr="0027454E" w:rsidRDefault="00EE6D20" w:rsidP="001E67A3">
            <w:pPr>
              <w:contextualSpacing/>
              <w:rPr>
                <w:sz w:val="22"/>
                <w:szCs w:val="22"/>
              </w:rPr>
            </w:pPr>
          </w:p>
        </w:tc>
      </w:tr>
      <w:tr w:rsidR="00EE6D20" w:rsidRPr="0027454E" w14:paraId="566E3112" w14:textId="77777777" w:rsidTr="00EE6D20">
        <w:trPr>
          <w:trHeight w:val="360"/>
        </w:trPr>
        <w:tc>
          <w:tcPr>
            <w:cnfStyle w:val="000010000000" w:firstRow="0" w:lastRow="0" w:firstColumn="0" w:lastColumn="0" w:oddVBand="1" w:evenVBand="0" w:oddHBand="0" w:evenHBand="0" w:firstRowFirstColumn="0" w:firstRowLastColumn="0" w:lastRowFirstColumn="0" w:lastRowLastColumn="0"/>
            <w:tcW w:w="644" w:type="pct"/>
          </w:tcPr>
          <w:p w14:paraId="27F44214"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6097C0BF"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38CA442B" w14:textId="77777777" w:rsidR="00EE6D20" w:rsidRPr="0027454E" w:rsidRDefault="00EE6D20" w:rsidP="001E67A3">
            <w:pPr>
              <w:contextualSpacing/>
              <w:rPr>
                <w:sz w:val="22"/>
                <w:szCs w:val="22"/>
              </w:rPr>
            </w:pPr>
            <w:r w:rsidRPr="0027454E">
              <w:rPr>
                <w:sz w:val="22"/>
                <w:szCs w:val="22"/>
              </w:rPr>
              <w:t>Radionuclides</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42A5E4DC" w14:textId="2AD39CCE"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7149B172" w14:textId="6C3B788C"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Merge/>
            <w:vAlign w:val="center"/>
          </w:tcPr>
          <w:p w14:paraId="33296757" w14:textId="77777777" w:rsidR="00EE6D20" w:rsidRPr="0027454E" w:rsidRDefault="00EE6D20" w:rsidP="001E67A3">
            <w:pPr>
              <w:contextualSpacing/>
              <w:rPr>
                <w:sz w:val="22"/>
                <w:szCs w:val="22"/>
              </w:rPr>
            </w:pPr>
          </w:p>
        </w:tc>
      </w:tr>
      <w:tr w:rsidR="00EE6D20" w:rsidRPr="0027454E" w14:paraId="063100E8" w14:textId="77777777" w:rsidTr="00EE6D20">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644" w:type="pct"/>
          </w:tcPr>
          <w:p w14:paraId="5C5D6FC8"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0796293F"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26B90458" w14:textId="77777777" w:rsidR="00EE6D20" w:rsidRPr="0027454E" w:rsidRDefault="00EE6D20" w:rsidP="001E67A3">
            <w:pPr>
              <w:contextualSpacing/>
              <w:rPr>
                <w:sz w:val="22"/>
                <w:szCs w:val="22"/>
              </w:rPr>
            </w:pPr>
            <w:r w:rsidRPr="0027454E">
              <w:rPr>
                <w:sz w:val="22"/>
                <w:szCs w:val="22"/>
              </w:rPr>
              <w:t xml:space="preserve">Asbestos </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22E86F20" w14:textId="1975DE46" w:rsidR="00EE6D20" w:rsidRPr="0027454E" w:rsidRDefault="00EE6D20" w:rsidP="001E67A3">
            <w:pPr>
              <w:contextualSpacing/>
              <w:jc w:val="center"/>
              <w:rPr>
                <w:sz w:val="22"/>
                <w:szCs w:val="22"/>
              </w:rPr>
            </w:pPr>
            <w:r w:rsidRPr="0027454E">
              <w:rPr>
                <w:sz w:val="22"/>
                <w:szCs w:val="22"/>
              </w:rPr>
              <w:t>Every 9 years</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49FBD938" w14:textId="408C7850"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Align w:val="center"/>
          </w:tcPr>
          <w:p w14:paraId="5DC914D4" w14:textId="7D839986" w:rsidR="00EE6D20" w:rsidRPr="0027454E" w:rsidRDefault="00EE6D20" w:rsidP="001E67A3">
            <w:pPr>
              <w:contextualSpacing/>
              <w:rPr>
                <w:sz w:val="22"/>
                <w:szCs w:val="22"/>
              </w:rPr>
            </w:pPr>
            <w:r w:rsidRPr="0027454E">
              <w:rPr>
                <w:sz w:val="22"/>
                <w:szCs w:val="22"/>
              </w:rPr>
              <w:t>Sample</w:t>
            </w:r>
            <w:r w:rsidRPr="0027454E">
              <w:rPr>
                <w:bCs/>
                <w:sz w:val="22"/>
                <w:szCs w:val="22"/>
              </w:rPr>
              <w:t xml:space="preserve"> within distribution or certification if no asbestos pipes within the system, use </w:t>
            </w:r>
            <w:hyperlink r:id="rId14" w:history="1">
              <w:r w:rsidRPr="0027454E">
                <w:rPr>
                  <w:rStyle w:val="Hyperlink"/>
                  <w:bCs/>
                  <w:sz w:val="22"/>
                  <w:szCs w:val="22"/>
                </w:rPr>
                <w:t xml:space="preserve">Form </w:t>
              </w:r>
              <w:r w:rsidRPr="0027454E">
                <w:rPr>
                  <w:rStyle w:val="Hyperlink"/>
                  <w:bCs/>
                  <w:sz w:val="22"/>
                  <w:szCs w:val="22"/>
                </w:rPr>
                <w:t>6</w:t>
              </w:r>
              <w:r w:rsidRPr="0027454E">
                <w:rPr>
                  <w:rStyle w:val="Hyperlink"/>
                  <w:bCs/>
                  <w:sz w:val="22"/>
                  <w:szCs w:val="22"/>
                </w:rPr>
                <w:t>2-555.900(10)</w:t>
              </w:r>
            </w:hyperlink>
            <w:r w:rsidRPr="0027454E">
              <w:rPr>
                <w:bCs/>
                <w:sz w:val="22"/>
                <w:szCs w:val="22"/>
              </w:rPr>
              <w:t xml:space="preserve"> for Asbestos Free Certification or Asbestos Sampling Plan</w:t>
            </w:r>
          </w:p>
        </w:tc>
      </w:tr>
      <w:tr w:rsidR="00EE6D20" w:rsidRPr="0027454E" w14:paraId="06023C8A" w14:textId="77777777" w:rsidTr="00EE6D20">
        <w:trPr>
          <w:trHeight w:val="412"/>
        </w:trPr>
        <w:tc>
          <w:tcPr>
            <w:cnfStyle w:val="000010000000" w:firstRow="0" w:lastRow="0" w:firstColumn="0" w:lastColumn="0" w:oddVBand="1" w:evenVBand="0" w:oddHBand="0" w:evenHBand="0" w:firstRowFirstColumn="0" w:firstRowLastColumn="0" w:lastRowFirstColumn="0" w:lastRowLastColumn="0"/>
            <w:tcW w:w="644" w:type="pct"/>
          </w:tcPr>
          <w:p w14:paraId="20FC695F"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0E6337FB"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0F676331" w14:textId="77777777" w:rsidR="00EE6D20" w:rsidRPr="0027454E" w:rsidRDefault="00EE6D20" w:rsidP="001E67A3">
            <w:pPr>
              <w:contextualSpacing/>
              <w:rPr>
                <w:sz w:val="22"/>
                <w:szCs w:val="22"/>
              </w:rPr>
            </w:pPr>
            <w:r w:rsidRPr="0027454E">
              <w:rPr>
                <w:sz w:val="22"/>
                <w:szCs w:val="22"/>
              </w:rPr>
              <w:t>Synthetic Organics (SOCs)</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0C54FB76" w14:textId="36060E62"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333F9B3C" w14:textId="59DCE836"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Align w:val="center"/>
          </w:tcPr>
          <w:p w14:paraId="2A331D92" w14:textId="4566BF28" w:rsidR="00EE6D20" w:rsidRPr="0027454E" w:rsidRDefault="00EE6D20" w:rsidP="001E67A3">
            <w:pPr>
              <w:contextualSpacing/>
              <w:rPr>
                <w:bCs/>
                <w:sz w:val="22"/>
                <w:szCs w:val="22"/>
              </w:rPr>
            </w:pPr>
            <w:r w:rsidRPr="0027454E">
              <w:rPr>
                <w:sz w:val="22"/>
                <w:szCs w:val="22"/>
              </w:rPr>
              <w:t xml:space="preserve">Sample at </w:t>
            </w:r>
            <w:r w:rsidRPr="0027454E">
              <w:rPr>
                <w:sz w:val="22"/>
                <w:szCs w:val="22"/>
                <w:u w:val="single"/>
              </w:rPr>
              <w:t>each</w:t>
            </w:r>
            <w:r w:rsidRPr="0027454E">
              <w:rPr>
                <w:sz w:val="22"/>
                <w:szCs w:val="22"/>
              </w:rPr>
              <w:t xml:space="preserve"> Point of Entry to the distribution</w:t>
            </w:r>
            <w:r w:rsidRPr="0027454E">
              <w:rPr>
                <w:bCs/>
                <w:sz w:val="22"/>
                <w:szCs w:val="22"/>
              </w:rPr>
              <w:t xml:space="preserve"> (Population &gt;3,300 must take 2 quarterly samples, can request to waive </w:t>
            </w:r>
            <w:r w:rsidRPr="0027454E">
              <w:rPr>
                <w:color w:val="000000"/>
                <w:sz w:val="22"/>
                <w:szCs w:val="22"/>
              </w:rPr>
              <w:t xml:space="preserve">using </w:t>
            </w:r>
            <w:hyperlink r:id="rId15" w:history="1">
              <w:r w:rsidRPr="0027454E">
                <w:rPr>
                  <w:rStyle w:val="Hyperlink"/>
                  <w:sz w:val="22"/>
                  <w:szCs w:val="22"/>
                </w:rPr>
                <w:t>Form 62-560.</w:t>
              </w:r>
              <w:r w:rsidRPr="0027454E">
                <w:rPr>
                  <w:rStyle w:val="Hyperlink"/>
                  <w:sz w:val="22"/>
                  <w:szCs w:val="22"/>
                </w:rPr>
                <w:t>5</w:t>
              </w:r>
              <w:r w:rsidRPr="0027454E">
                <w:rPr>
                  <w:rStyle w:val="Hyperlink"/>
                  <w:sz w:val="22"/>
                  <w:szCs w:val="22"/>
                </w:rPr>
                <w:t>45(2)</w:t>
              </w:r>
            </w:hyperlink>
          </w:p>
        </w:tc>
      </w:tr>
      <w:tr w:rsidR="00EE6D20" w:rsidRPr="0027454E" w14:paraId="36DB4529" w14:textId="77777777" w:rsidTr="00905A9C">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644" w:type="pct"/>
          </w:tcPr>
          <w:p w14:paraId="1ED92D16"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0CA36C41"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747CA31F" w14:textId="77777777" w:rsidR="00EE6D20" w:rsidRPr="0027454E" w:rsidRDefault="00EE6D20" w:rsidP="001E67A3">
            <w:pPr>
              <w:contextualSpacing/>
              <w:rPr>
                <w:sz w:val="22"/>
                <w:szCs w:val="22"/>
              </w:rPr>
            </w:pPr>
            <w:r w:rsidRPr="0027454E">
              <w:rPr>
                <w:sz w:val="22"/>
                <w:szCs w:val="22"/>
              </w:rPr>
              <w:t>Stage 2 Disinfection Byproducts (S2 DBPs)</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6C8ACE3A" w14:textId="21628E36"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4D220129" w14:textId="77777777" w:rsidR="00EE6D20" w:rsidRPr="0027454E" w:rsidRDefault="00EE6D20" w:rsidP="00EE6D20">
            <w:pPr>
              <w:pStyle w:val="ListParagraph"/>
              <w:ind w:left="0"/>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1593" w:type="pct"/>
            <w:vAlign w:val="center"/>
          </w:tcPr>
          <w:p w14:paraId="31CBE39E" w14:textId="77777777" w:rsidR="00EE6D20" w:rsidRPr="0027454E" w:rsidRDefault="00EE6D20" w:rsidP="00905A9C">
            <w:pPr>
              <w:pStyle w:val="ListParagraph"/>
              <w:ind w:left="0"/>
              <w:jc w:val="center"/>
              <w:rPr>
                <w:rFonts w:ascii="Times New Roman" w:hAnsi="Times New Roman" w:cs="Times New Roman"/>
                <w:bCs/>
              </w:rPr>
            </w:pPr>
            <w:r w:rsidRPr="0027454E">
              <w:rPr>
                <w:rFonts w:ascii="Times New Roman" w:hAnsi="Times New Roman" w:cs="Times New Roman"/>
                <w:bCs/>
              </w:rPr>
              <w:t>Sample at pre-approved sample plan sites</w:t>
            </w:r>
          </w:p>
          <w:p w14:paraId="0B28CA08" w14:textId="7249DA98" w:rsidR="00EE6D20" w:rsidRPr="0027454E" w:rsidRDefault="00EE6D20" w:rsidP="00905A9C">
            <w:pPr>
              <w:pStyle w:val="ListParagraph"/>
              <w:ind w:left="0"/>
              <w:jc w:val="center"/>
              <w:rPr>
                <w:rFonts w:ascii="Times New Roman" w:hAnsi="Times New Roman" w:cs="Times New Roman"/>
              </w:rPr>
            </w:pPr>
          </w:p>
        </w:tc>
      </w:tr>
      <w:tr w:rsidR="00EE6D20" w:rsidRPr="0027454E" w14:paraId="4CA42F9F" w14:textId="77777777" w:rsidTr="0027454E">
        <w:trPr>
          <w:trHeight w:val="1259"/>
        </w:trPr>
        <w:tc>
          <w:tcPr>
            <w:cnfStyle w:val="000010000000" w:firstRow="0" w:lastRow="0" w:firstColumn="0" w:lastColumn="0" w:oddVBand="1" w:evenVBand="0" w:oddHBand="0" w:evenHBand="0" w:firstRowFirstColumn="0" w:firstRowLastColumn="0" w:lastRowFirstColumn="0" w:lastRowLastColumn="0"/>
            <w:tcW w:w="644" w:type="pct"/>
          </w:tcPr>
          <w:p w14:paraId="14F90ED6"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31BAF286"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6BF6BCCB" w14:textId="77777777" w:rsidR="00EE6D20" w:rsidRPr="0027454E" w:rsidRDefault="00EE6D20" w:rsidP="001E67A3">
            <w:pPr>
              <w:contextualSpacing/>
              <w:rPr>
                <w:sz w:val="22"/>
                <w:szCs w:val="22"/>
              </w:rPr>
            </w:pPr>
            <w:r w:rsidRPr="0027454E">
              <w:rPr>
                <w:sz w:val="22"/>
                <w:szCs w:val="22"/>
              </w:rPr>
              <w:t>Lead and Copper (tap samples)</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73B5A7D6" w14:textId="5CF66177"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1AF4B2C2" w14:textId="11C03874"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Align w:val="center"/>
          </w:tcPr>
          <w:p w14:paraId="387A7340" w14:textId="1A770CF9" w:rsidR="00EE6D20" w:rsidRPr="0027454E" w:rsidRDefault="00EE6D20" w:rsidP="001E67A3">
            <w:pPr>
              <w:contextualSpacing/>
              <w:rPr>
                <w:bCs/>
                <w:sz w:val="22"/>
                <w:szCs w:val="22"/>
              </w:rPr>
            </w:pPr>
            <w:r w:rsidRPr="0027454E">
              <w:rPr>
                <w:bCs/>
                <w:sz w:val="22"/>
                <w:szCs w:val="22"/>
              </w:rPr>
              <w:t>Sample at pre-approved sample plan sites</w:t>
            </w:r>
          </w:p>
        </w:tc>
      </w:tr>
    </w:tbl>
    <w:p w14:paraId="647B2662" w14:textId="77777777" w:rsidR="008C625C" w:rsidRPr="0027454E" w:rsidRDefault="008C625C"/>
    <w:sectPr w:rsidR="008C625C" w:rsidRPr="0027454E" w:rsidSect="00EE6D20">
      <w:headerReference w:type="default" r:id="rId16"/>
      <w:pgSz w:w="12240" w:h="16340"/>
      <w:pgMar w:top="1440" w:right="1061" w:bottom="1440" w:left="127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6540" w14:textId="77777777" w:rsidR="00F6485A" w:rsidRDefault="00F6485A" w:rsidP="00F6485A">
      <w:r>
        <w:separator/>
      </w:r>
    </w:p>
  </w:endnote>
  <w:endnote w:type="continuationSeparator" w:id="0">
    <w:p w14:paraId="2350A435" w14:textId="77777777" w:rsidR="00F6485A" w:rsidRDefault="00F6485A" w:rsidP="00F6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DB02" w14:textId="73F68D08" w:rsidR="00F6485A" w:rsidRPr="00EF40D4" w:rsidRDefault="00F6485A" w:rsidP="00F6485A">
    <w:pPr>
      <w:pStyle w:val="Footer"/>
      <w:jc w:val="right"/>
      <w:rPr>
        <w:rFonts w:ascii="Times New Roman" w:hAnsi="Times New Roman" w:cs="Times New Roman"/>
        <w:sz w:val="28"/>
        <w:szCs w:val="28"/>
      </w:rPr>
    </w:pPr>
    <w:r w:rsidRPr="00EF40D4">
      <w:rPr>
        <w:rFonts w:ascii="Times New Roman" w:hAnsi="Times New Roman" w:cs="Times New Roman"/>
        <w:sz w:val="28"/>
        <w:szCs w:val="28"/>
      </w:rPr>
      <w:t xml:space="preserve">NORTHEAST DISTRICT </w:t>
    </w:r>
  </w:p>
  <w:p w14:paraId="09D877CC" w14:textId="3F376A2E" w:rsidR="0027454E" w:rsidRPr="00EF40D4" w:rsidRDefault="0027454E" w:rsidP="00F6485A">
    <w:pPr>
      <w:pStyle w:val="Footer"/>
      <w:jc w:val="right"/>
      <w:rPr>
        <w:rFonts w:ascii="Times New Roman" w:hAnsi="Times New Roman" w:cs="Times New Roman"/>
        <w:sz w:val="28"/>
        <w:szCs w:val="28"/>
      </w:rPr>
    </w:pPr>
    <w:r w:rsidRPr="00EF40D4">
      <w:rPr>
        <w:rFonts w:ascii="Times New Roman" w:hAnsi="Times New Roman" w:cs="Times New Roman"/>
        <w:sz w:val="28"/>
        <w:szCs w:val="28"/>
      </w:rPr>
      <w:t>Monitoring Schedules 202</w:t>
    </w:r>
    <w:r w:rsidR="0077325F">
      <w:rPr>
        <w:rFonts w:ascii="Times New Roman" w:hAnsi="Times New Roman" w:cs="Times New Roman"/>
        <w:sz w:val="28"/>
        <w:szCs w:val="2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03F9" w14:textId="77777777" w:rsidR="00F6485A" w:rsidRDefault="00F6485A" w:rsidP="00F6485A">
      <w:r>
        <w:separator/>
      </w:r>
    </w:p>
  </w:footnote>
  <w:footnote w:type="continuationSeparator" w:id="0">
    <w:p w14:paraId="04D8C67A" w14:textId="77777777" w:rsidR="00F6485A" w:rsidRDefault="00F6485A" w:rsidP="00F6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354A" w14:textId="7A0D117F" w:rsidR="0027454E" w:rsidRDefault="003226B6" w:rsidP="003226B6">
    <w:pPr>
      <w:pStyle w:val="Header"/>
    </w:pPr>
    <w:r>
      <w:t>202</w:t>
    </w:r>
    <w:r w:rsidR="00721ACE">
      <w:t>4</w:t>
    </w:r>
    <w:r>
      <w:t xml:space="preserve"> Northeast District Instructions</w:t>
    </w:r>
  </w:p>
  <w:p w14:paraId="23A5AE98" w14:textId="7E902498" w:rsidR="003226B6" w:rsidRPr="003226B6" w:rsidRDefault="003226B6" w:rsidP="003226B6">
    <w:pPr>
      <w:pStyle w:val="Header"/>
    </w:pPr>
    <w: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29B9" w14:textId="69170007" w:rsidR="003226B6" w:rsidRDefault="003226B6" w:rsidP="003226B6">
    <w:pPr>
      <w:pStyle w:val="Header"/>
      <w:jc w:val="center"/>
      <w:rPr>
        <w:rFonts w:ascii="Times New Roman" w:hAnsi="Times New Roman" w:cs="Times New Roman"/>
        <w:sz w:val="40"/>
        <w:szCs w:val="40"/>
      </w:rPr>
    </w:pPr>
    <w:r w:rsidRPr="0027454E">
      <w:rPr>
        <w:rFonts w:ascii="Times New Roman" w:hAnsi="Times New Roman" w:cs="Times New Roman"/>
        <w:sz w:val="40"/>
        <w:szCs w:val="40"/>
      </w:rPr>
      <w:t>202</w:t>
    </w:r>
    <w:r w:rsidR="007712DD">
      <w:rPr>
        <w:rFonts w:ascii="Times New Roman" w:hAnsi="Times New Roman" w:cs="Times New Roman"/>
        <w:sz w:val="40"/>
        <w:szCs w:val="40"/>
      </w:rPr>
      <w:t>4</w:t>
    </w:r>
    <w:r w:rsidRPr="0027454E">
      <w:rPr>
        <w:rFonts w:ascii="Times New Roman" w:hAnsi="Times New Roman" w:cs="Times New Roman"/>
        <w:sz w:val="40"/>
        <w:szCs w:val="40"/>
      </w:rPr>
      <w:t xml:space="preserve"> MONITORING SCHEDULES</w:t>
    </w:r>
  </w:p>
  <w:p w14:paraId="1DF27966" w14:textId="77777777" w:rsidR="003226B6" w:rsidRPr="0027454E" w:rsidRDefault="003226B6" w:rsidP="003226B6">
    <w:pPr>
      <w:pStyle w:val="Header"/>
      <w:jc w:val="center"/>
      <w:rPr>
        <w:rFonts w:ascii="Times New Roman" w:hAnsi="Times New Roman" w:cs="Times New Roman"/>
        <w:sz w:val="40"/>
        <w:szCs w:val="40"/>
      </w:rPr>
    </w:pPr>
    <w:r>
      <w:rPr>
        <w:rFonts w:ascii="Times New Roman" w:hAnsi="Times New Roman" w:cs="Times New Roman"/>
        <w:sz w:val="40"/>
        <w:szCs w:val="40"/>
      </w:rPr>
      <w:t>Northeast District Instructions</w:t>
    </w:r>
  </w:p>
  <w:p w14:paraId="1AD70EE8" w14:textId="77777777" w:rsidR="003226B6" w:rsidRDefault="00322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C8B3" w14:textId="3A7D93F5" w:rsidR="003226B6" w:rsidRPr="003226B6" w:rsidRDefault="003226B6" w:rsidP="003226B6">
    <w:pPr>
      <w:pStyle w:val="Header"/>
      <w:jc w:val="center"/>
      <w:rPr>
        <w:b/>
        <w:bCs/>
        <w:sz w:val="40"/>
        <w:szCs w:val="40"/>
      </w:rPr>
    </w:pPr>
    <w:r>
      <w:rPr>
        <w:b/>
        <w:bCs/>
        <w:sz w:val="40"/>
        <w:szCs w:val="40"/>
      </w:rPr>
      <w:t>202</w:t>
    </w:r>
    <w:r w:rsidR="00721ACE">
      <w:rPr>
        <w:b/>
        <w:bCs/>
        <w:sz w:val="40"/>
        <w:szCs w:val="40"/>
      </w:rPr>
      <w:t>4</w:t>
    </w:r>
    <w:r>
      <w:rPr>
        <w:b/>
        <w:bCs/>
        <w:sz w:val="40"/>
        <w:szCs w:val="40"/>
      </w:rPr>
      <w:t xml:space="preserve"> Monitoring Schedule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212"/>
    <w:multiLevelType w:val="hybridMultilevel"/>
    <w:tmpl w:val="103AF9AE"/>
    <w:lvl w:ilvl="0" w:tplc="850E0E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1061"/>
    <w:multiLevelType w:val="hybridMultilevel"/>
    <w:tmpl w:val="2E62E2AC"/>
    <w:lvl w:ilvl="0" w:tplc="850E0E6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52620"/>
    <w:multiLevelType w:val="hybridMultilevel"/>
    <w:tmpl w:val="1B0CF2BE"/>
    <w:lvl w:ilvl="0" w:tplc="850E0E62">
      <w:numFmt w:val="bullet"/>
      <w:lvlText w:val="•"/>
      <w:lvlJc w:val="left"/>
      <w:pPr>
        <w:ind w:left="720" w:hanging="360"/>
      </w:pPr>
      <w:rPr>
        <w:rFonts w:ascii="Calibri" w:eastAsiaTheme="minorHAnsi" w:hAnsi="Calibri" w:cs="Calibri" w:hint="default"/>
      </w:rPr>
    </w:lvl>
    <w:lvl w:ilvl="1" w:tplc="EC8C4C8E">
      <w:numFmt w:val="bullet"/>
      <w:lvlText w:val=""/>
      <w:lvlJc w:val="left"/>
      <w:pPr>
        <w:ind w:left="1440" w:hanging="360"/>
      </w:pPr>
      <w:rPr>
        <w:rFonts w:ascii="Symbol" w:eastAsiaTheme="minorHAnsi"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36FCC"/>
    <w:multiLevelType w:val="hybridMultilevel"/>
    <w:tmpl w:val="57AE1B74"/>
    <w:lvl w:ilvl="0" w:tplc="850E0E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44898"/>
    <w:multiLevelType w:val="hybridMultilevel"/>
    <w:tmpl w:val="7D18651E"/>
    <w:lvl w:ilvl="0" w:tplc="850E0E6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75B5C"/>
    <w:multiLevelType w:val="hybridMultilevel"/>
    <w:tmpl w:val="5642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567300">
    <w:abstractNumId w:val="5"/>
  </w:num>
  <w:num w:numId="2" w16cid:durableId="350228677">
    <w:abstractNumId w:val="2"/>
  </w:num>
  <w:num w:numId="3" w16cid:durableId="2119519436">
    <w:abstractNumId w:val="1"/>
  </w:num>
  <w:num w:numId="4" w16cid:durableId="1951544305">
    <w:abstractNumId w:val="4"/>
  </w:num>
  <w:num w:numId="5" w16cid:durableId="1590116190">
    <w:abstractNumId w:val="0"/>
  </w:num>
  <w:num w:numId="6" w16cid:durableId="522977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6B"/>
    <w:rsid w:val="00061E4D"/>
    <w:rsid w:val="0009443F"/>
    <w:rsid w:val="001C4E49"/>
    <w:rsid w:val="001D15FA"/>
    <w:rsid w:val="00247EA4"/>
    <w:rsid w:val="0027454E"/>
    <w:rsid w:val="002926D2"/>
    <w:rsid w:val="003226B6"/>
    <w:rsid w:val="00427C9B"/>
    <w:rsid w:val="005769AD"/>
    <w:rsid w:val="00601B6A"/>
    <w:rsid w:val="00633DB8"/>
    <w:rsid w:val="006A085E"/>
    <w:rsid w:val="006C2537"/>
    <w:rsid w:val="006D0E4B"/>
    <w:rsid w:val="006E0DFE"/>
    <w:rsid w:val="00721ACE"/>
    <w:rsid w:val="007712DD"/>
    <w:rsid w:val="0077325F"/>
    <w:rsid w:val="007B376B"/>
    <w:rsid w:val="007C5954"/>
    <w:rsid w:val="00881A71"/>
    <w:rsid w:val="008C625C"/>
    <w:rsid w:val="00905A9C"/>
    <w:rsid w:val="00926B02"/>
    <w:rsid w:val="00AA2CE6"/>
    <w:rsid w:val="00AB5F16"/>
    <w:rsid w:val="00B515A6"/>
    <w:rsid w:val="00BB646D"/>
    <w:rsid w:val="00C42C97"/>
    <w:rsid w:val="00D01DC6"/>
    <w:rsid w:val="00D0493B"/>
    <w:rsid w:val="00E328E6"/>
    <w:rsid w:val="00EB2D15"/>
    <w:rsid w:val="00EB6B0E"/>
    <w:rsid w:val="00EE6D20"/>
    <w:rsid w:val="00EF40D4"/>
    <w:rsid w:val="00F6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E637"/>
  <w15:chartTrackingRefBased/>
  <w15:docId w15:val="{31CE049E-7025-42BC-8C42-90A0AA61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D2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E6D2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E4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61E4D"/>
  </w:style>
  <w:style w:type="paragraph" w:styleId="Footer">
    <w:name w:val="footer"/>
    <w:basedOn w:val="Normal"/>
    <w:link w:val="FooterChar"/>
    <w:uiPriority w:val="99"/>
    <w:unhideWhenUsed/>
    <w:rsid w:val="00061E4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61E4D"/>
  </w:style>
  <w:style w:type="paragraph" w:styleId="ListParagraph">
    <w:name w:val="List Paragraph"/>
    <w:basedOn w:val="Normal"/>
    <w:uiPriority w:val="34"/>
    <w:qFormat/>
    <w:rsid w:val="00061E4D"/>
    <w:pPr>
      <w:ind w:left="720"/>
      <w:contextualSpacing/>
    </w:pPr>
    <w:rPr>
      <w:rFonts w:asciiTheme="minorHAnsi" w:eastAsiaTheme="minorHAnsi" w:hAnsiTheme="minorHAnsi" w:cstheme="minorBidi"/>
      <w:sz w:val="22"/>
      <w:szCs w:val="22"/>
    </w:rPr>
  </w:style>
  <w:style w:type="paragraph" w:customStyle="1" w:styleId="Default">
    <w:name w:val="Default"/>
    <w:rsid w:val="00427C9B"/>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427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6D20"/>
    <w:rPr>
      <w:rFonts w:ascii="Times New Roman" w:eastAsia="Times New Roman" w:hAnsi="Times New Roman" w:cs="Times New Roman"/>
      <w:b/>
      <w:bCs/>
      <w:sz w:val="24"/>
      <w:szCs w:val="24"/>
    </w:rPr>
  </w:style>
  <w:style w:type="character" w:styleId="Hyperlink">
    <w:name w:val="Hyperlink"/>
    <w:basedOn w:val="DefaultParagraphFont"/>
    <w:unhideWhenUsed/>
    <w:rsid w:val="00EE6D20"/>
    <w:rPr>
      <w:color w:val="0563C1" w:themeColor="hyperlink"/>
      <w:u w:val="single"/>
    </w:rPr>
  </w:style>
  <w:style w:type="table" w:styleId="PlainTable2">
    <w:name w:val="Plain Table 2"/>
    <w:basedOn w:val="TableNormal"/>
    <w:uiPriority w:val="42"/>
    <w:rsid w:val="00EE6D20"/>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F6485A"/>
    <w:rPr>
      <w:sz w:val="16"/>
      <w:szCs w:val="16"/>
    </w:rPr>
  </w:style>
  <w:style w:type="paragraph" w:styleId="CommentText">
    <w:name w:val="annotation text"/>
    <w:basedOn w:val="Normal"/>
    <w:link w:val="CommentTextChar"/>
    <w:uiPriority w:val="99"/>
    <w:semiHidden/>
    <w:unhideWhenUsed/>
    <w:rsid w:val="00F6485A"/>
    <w:rPr>
      <w:sz w:val="20"/>
      <w:szCs w:val="20"/>
    </w:rPr>
  </w:style>
  <w:style w:type="character" w:customStyle="1" w:styleId="CommentTextChar">
    <w:name w:val="Comment Text Char"/>
    <w:basedOn w:val="DefaultParagraphFont"/>
    <w:link w:val="CommentText"/>
    <w:uiPriority w:val="99"/>
    <w:semiHidden/>
    <w:rsid w:val="00F648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85A"/>
    <w:rPr>
      <w:b/>
      <w:bCs/>
    </w:rPr>
  </w:style>
  <w:style w:type="character" w:customStyle="1" w:styleId="CommentSubjectChar">
    <w:name w:val="Comment Subject Char"/>
    <w:basedOn w:val="CommentTextChar"/>
    <w:link w:val="CommentSubject"/>
    <w:uiPriority w:val="99"/>
    <w:semiHidden/>
    <w:rsid w:val="00F6485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648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85A"/>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7454E"/>
    <w:rPr>
      <w:color w:val="605E5C"/>
      <w:shd w:val="clear" w:color="auto" w:fill="E1DFDD"/>
    </w:rPr>
  </w:style>
  <w:style w:type="character" w:styleId="FollowedHyperlink">
    <w:name w:val="FollowedHyperlink"/>
    <w:basedOn w:val="DefaultParagraphFont"/>
    <w:uiPriority w:val="99"/>
    <w:semiHidden/>
    <w:unhideWhenUsed/>
    <w:rsid w:val="00881A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dep.gov/DrinkingWaterForms" TargetMode="External"/><Relationship Id="rId13" Type="http://schemas.openxmlformats.org/officeDocument/2006/relationships/hyperlink" Target="https://floridadep.gov/sites/default/files/62-560.545_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lrules.org/gateway/ChapterHome.asp?Chapter=62-55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loridadep.gov/water/source-drinking-water/forms/reduced-monitoring-application-questionnaire-synthetic-organic"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loridadep.gov/sites/default/files/62-555.900_10.pdf" TargetMode="External"/><Relationship Id="rId14" Type="http://schemas.openxmlformats.org/officeDocument/2006/relationships/hyperlink" Target="https://floridadep.gov/water/source-drinking-water/forms/asbestos-free-certification-or-asbestos-sampling-plan-pw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Petry, Joni</dc:creator>
  <cp:keywords/>
  <dc:description/>
  <cp:lastModifiedBy>Foote, Joe</cp:lastModifiedBy>
  <cp:revision>3</cp:revision>
  <dcterms:created xsi:type="dcterms:W3CDTF">2024-03-20T19:11:00Z</dcterms:created>
  <dcterms:modified xsi:type="dcterms:W3CDTF">2024-03-21T12:58:00Z</dcterms:modified>
</cp:coreProperties>
</file>