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EC9E0" w14:textId="77777777" w:rsidR="00E52A80" w:rsidRPr="00552A76" w:rsidRDefault="00F106E6" w:rsidP="00363E40">
      <w:pPr>
        <w:pStyle w:val="Heading1"/>
        <w:rPr>
          <w:rFonts w:asciiTheme="minorHAnsi" w:hAnsiTheme="minorHAnsi" w:cstheme="minorHAnsi"/>
        </w:rPr>
      </w:pPr>
      <w:r w:rsidRPr="00552A76">
        <w:rPr>
          <w:rFonts w:asciiTheme="minorHAnsi" w:hAnsiTheme="minorHAnsi" w:cstheme="minorHAnsi"/>
        </w:rPr>
        <w:t>TIMELINE OF ACTIVITIES</w:t>
      </w:r>
    </w:p>
    <w:p w14:paraId="39709293" w14:textId="77777777" w:rsidR="00095170" w:rsidRDefault="00095170" w:rsidP="00666344">
      <w:pPr>
        <w:pStyle w:val="BodyText"/>
        <w:spacing w:before="6"/>
        <w:jc w:val="center"/>
      </w:pPr>
      <w:r w:rsidRPr="00095170">
        <w:t xml:space="preserve">Orange County Public Schools Education </w:t>
      </w:r>
    </w:p>
    <w:p w14:paraId="545C36BF" w14:textId="082CCAE6" w:rsidR="00E52A80" w:rsidRDefault="00095170" w:rsidP="00666344">
      <w:pPr>
        <w:pStyle w:val="BodyText"/>
        <w:spacing w:before="6"/>
        <w:jc w:val="center"/>
        <w:rPr>
          <w:sz w:val="20"/>
        </w:rPr>
      </w:pPr>
      <w:r w:rsidRPr="00095170">
        <w:t>Complex Fire Training Facility</w:t>
      </w: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4"/>
        <w:gridCol w:w="2879"/>
        <w:gridCol w:w="2160"/>
        <w:gridCol w:w="3597"/>
      </w:tblGrid>
      <w:tr w:rsidR="00B86CE0" w14:paraId="425DBFC0" w14:textId="77777777" w:rsidTr="00EE030F">
        <w:trPr>
          <w:trHeight w:val="637"/>
        </w:trPr>
        <w:tc>
          <w:tcPr>
            <w:tcW w:w="998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0AD0DA2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4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9F0EE4C" w14:textId="77777777" w:rsidR="00B86CE0" w:rsidRDefault="00B86CE0" w:rsidP="00F77EE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AF2A98E" w14:textId="77777777" w:rsidR="00B86CE0" w:rsidRPr="00B86CE0" w:rsidRDefault="00540391" w:rsidP="00F77EE2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A5FA584" w14:textId="77777777" w:rsidR="00B86CE0" w:rsidRDefault="00B86CE0" w:rsidP="00F77EE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552A76" w14:paraId="7F883746" w14:textId="77777777" w:rsidTr="00EE030F">
        <w:trPr>
          <w:cantSplit/>
          <w:trHeight w:val="1698"/>
        </w:trPr>
        <w:tc>
          <w:tcPr>
            <w:tcW w:w="998" w:type="pct"/>
            <w:tcBorders>
              <w:bottom w:val="single" w:sz="12" w:space="0" w:color="8EAADB"/>
            </w:tcBorders>
          </w:tcPr>
          <w:p w14:paraId="2191F9E6" w14:textId="685BCD03" w:rsidR="00552A76" w:rsidRPr="00552A76" w:rsidRDefault="00666344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836EC">
              <w:rPr>
                <w:b/>
                <w:sz w:val="28"/>
                <w:szCs w:val="28"/>
              </w:rPr>
              <w:t>/</w:t>
            </w:r>
            <w:r w:rsidR="00D2417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="00A836EC">
              <w:rPr>
                <w:b/>
                <w:sz w:val="28"/>
                <w:szCs w:val="28"/>
              </w:rPr>
              <w:t>/2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34" w:type="pct"/>
            <w:tcBorders>
              <w:bottom w:val="single" w:sz="12" w:space="0" w:color="8EAADB"/>
            </w:tcBorders>
          </w:tcPr>
          <w:p w14:paraId="782CBB87" w14:textId="2E36CFAF" w:rsidR="00552A76" w:rsidRPr="00552A76" w:rsidRDefault="00666344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Phase I ESA performed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47EDE91A" w14:textId="2F212E2A" w:rsidR="00552A76" w:rsidRPr="00552A76" w:rsidRDefault="00666344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County Public Schools, Terracon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6501578A" w14:textId="2EB3F402" w:rsidR="001B46D9" w:rsidRPr="00552A76" w:rsidRDefault="001B46D9" w:rsidP="00A836EC">
            <w:pPr>
              <w:jc w:val="center"/>
              <w:rPr>
                <w:sz w:val="28"/>
                <w:szCs w:val="28"/>
              </w:rPr>
            </w:pPr>
            <w:r w:rsidRPr="00FE085F">
              <w:rPr>
                <w:sz w:val="28"/>
                <w:szCs w:val="28"/>
              </w:rPr>
              <w:t>ERIC_</w:t>
            </w:r>
            <w:r w:rsidR="00095170">
              <w:rPr>
                <w:sz w:val="28"/>
                <w:szCs w:val="28"/>
              </w:rPr>
              <w:t>1</w:t>
            </w:r>
            <w:r w:rsidR="00D24172">
              <w:rPr>
                <w:sz w:val="28"/>
                <w:szCs w:val="28"/>
              </w:rPr>
              <w:t>7</w:t>
            </w:r>
            <w:r w:rsidR="00666344">
              <w:rPr>
                <w:sz w:val="28"/>
                <w:szCs w:val="28"/>
              </w:rPr>
              <w:t>862</w:t>
            </w:r>
          </w:p>
        </w:tc>
      </w:tr>
      <w:tr w:rsidR="00552A76" w14:paraId="6E6433E6" w14:textId="77777777" w:rsidTr="00EE030F">
        <w:trPr>
          <w:cantSplit/>
          <w:trHeight w:val="2229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27BD7915" w14:textId="2C62E5A7" w:rsidR="00552A76" w:rsidRPr="00552A76" w:rsidRDefault="00666344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A836E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15</w:t>
            </w:r>
            <w:r w:rsidR="00A836EC">
              <w:rPr>
                <w:b/>
                <w:sz w:val="28"/>
                <w:szCs w:val="28"/>
              </w:rPr>
              <w:t>/21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2ADAEFD3" w14:textId="069EE139" w:rsidR="00552A76" w:rsidRPr="00552A76" w:rsidRDefault="00666344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Limited Site Investigation Report (revised) issued.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DDE5560" w14:textId="2727B392" w:rsidR="00552A76" w:rsidRPr="00552A76" w:rsidRDefault="00666344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County Public Schools, Terracon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57E03CA" w14:textId="5018E630" w:rsidR="00552A76" w:rsidRPr="00552A76" w:rsidRDefault="00666344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Combined PFOA+PFOS concentrations ranged from 453 to 5,943 ng/L in 4 temporary, direct push wells tightly spaced in the south-southwest portion of the site.</w:t>
            </w:r>
          </w:p>
        </w:tc>
      </w:tr>
      <w:tr w:rsidR="00552A76" w14:paraId="43E4895F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1527DE64" w14:textId="1E0484DA" w:rsidR="00552A76" w:rsidRPr="00552A76" w:rsidRDefault="00666344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836EC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3</w:t>
            </w:r>
            <w:r w:rsidR="00A836EC">
              <w:rPr>
                <w:b/>
                <w:sz w:val="28"/>
                <w:szCs w:val="28"/>
              </w:rPr>
              <w:t>/2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358B6218" w14:textId="70A6A8A9" w:rsidR="00552A76" w:rsidRPr="00552A76" w:rsidRDefault="00666344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 between FDEP Central District, Orange County Public Schools and Terracon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A9C39E1" w14:textId="1496C721" w:rsidR="00552A76" w:rsidRPr="00552A76" w:rsidRDefault="00666344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County Public Schools, Terracon and FDEP Central District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6653665" w14:textId="08F8A9B3" w:rsidR="00552A76" w:rsidRPr="00552A76" w:rsidRDefault="00552608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County Public Schools and Terracon requesting guidance from FDEP.</w:t>
            </w:r>
          </w:p>
        </w:tc>
      </w:tr>
      <w:tr w:rsidR="00F31F0F" w14:paraId="362F4018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03FF79D5" w14:textId="2C8C0C19" w:rsidR="00F31F0F" w:rsidRDefault="00F31F0F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12/6/22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7AF19D38" w14:textId="050F67E8" w:rsidR="00F31F0F" w:rsidRDefault="00F31F0F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Site access granted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2295A11" w14:textId="2A469D8E" w:rsidR="00F31F0F" w:rsidRDefault="00F31F0F" w:rsidP="00F77EE2">
            <w:pPr>
              <w:jc w:val="center"/>
              <w:rPr>
                <w:sz w:val="28"/>
                <w:szCs w:val="28"/>
              </w:rPr>
            </w:pPr>
            <w:r w:rsidRPr="00F31F0F">
              <w:rPr>
                <w:sz w:val="28"/>
                <w:szCs w:val="28"/>
              </w:rPr>
              <w:t>DEP- School Board Chair of OCPS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771073C" w14:textId="7A7948E1" w:rsidR="00F31F0F" w:rsidRDefault="00F31F0F" w:rsidP="00F77EE2">
            <w:pPr>
              <w:jc w:val="center"/>
              <w:rPr>
                <w:sz w:val="28"/>
                <w:szCs w:val="28"/>
              </w:rPr>
            </w:pPr>
            <w:r w:rsidRPr="00F31F0F">
              <w:rPr>
                <w:sz w:val="28"/>
                <w:szCs w:val="28"/>
              </w:rPr>
              <w:t>DEP secured site access through email chain and signed access agreement for DEP site number: ERIC_17862</w:t>
            </w:r>
          </w:p>
        </w:tc>
      </w:tr>
      <w:tr w:rsidR="00791A44" w14:paraId="2A1A1039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41C66B7B" w14:textId="6F5A434E" w:rsidR="00791A44" w:rsidRDefault="009378BF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5/18/23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74161576" w14:textId="113EBA91" w:rsidR="00791A44" w:rsidRDefault="009378BF" w:rsidP="00F77EE2">
            <w:pPr>
              <w:jc w:val="center"/>
              <w:rPr>
                <w:sz w:val="28"/>
                <w:szCs w:val="28"/>
              </w:rPr>
            </w:pPr>
            <w:r w:rsidRPr="009378BF">
              <w:rPr>
                <w:sz w:val="28"/>
                <w:szCs w:val="28"/>
              </w:rPr>
              <w:t>Task Assignment – PA2</w:t>
            </w:r>
            <w:r>
              <w:rPr>
                <w:sz w:val="28"/>
                <w:szCs w:val="28"/>
              </w:rPr>
              <w:t>52</w:t>
            </w:r>
            <w:r w:rsidRPr="009378BF">
              <w:rPr>
                <w:sz w:val="28"/>
                <w:szCs w:val="28"/>
              </w:rPr>
              <w:t xml:space="preserve"> Executed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E425086" w14:textId="06200559" w:rsidR="00791A44" w:rsidRPr="00F31F0F" w:rsidRDefault="00EF3CE1" w:rsidP="00F77EE2">
            <w:pPr>
              <w:jc w:val="center"/>
              <w:rPr>
                <w:sz w:val="28"/>
                <w:szCs w:val="28"/>
              </w:rPr>
            </w:pPr>
            <w:r w:rsidRPr="00EF3CE1">
              <w:rPr>
                <w:sz w:val="28"/>
                <w:szCs w:val="28"/>
              </w:rPr>
              <w:t>DEP –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117D383" w14:textId="5BFEBE81" w:rsidR="00791A44" w:rsidRPr="00F31F0F" w:rsidRDefault="00EF3CE1" w:rsidP="00F77EE2">
            <w:pPr>
              <w:jc w:val="center"/>
              <w:rPr>
                <w:sz w:val="28"/>
                <w:szCs w:val="28"/>
              </w:rPr>
            </w:pPr>
            <w:r w:rsidRPr="00EF3CE1">
              <w:rPr>
                <w:sz w:val="28"/>
                <w:szCs w:val="28"/>
              </w:rPr>
              <w:t xml:space="preserve">State contractor will conduct Site Reconnaissance activities at </w:t>
            </w:r>
            <w:r>
              <w:rPr>
                <w:sz w:val="28"/>
                <w:szCs w:val="28"/>
              </w:rPr>
              <w:t>OCPS Education Complex Fire Training Facility</w:t>
            </w:r>
            <w:r w:rsidRPr="00EF3CE1">
              <w:rPr>
                <w:sz w:val="28"/>
                <w:szCs w:val="28"/>
              </w:rPr>
              <w:t>. Activities will include a Site Reconnaissance visit, sampling of on-site potable water for PFAS, and preparation of a Site Assessment Work Plan (SAWP) with field documentation, site recon photo-log, site and GW flow figures.</w:t>
            </w:r>
            <w:r>
              <w:rPr>
                <w:sz w:val="28"/>
                <w:szCs w:val="28"/>
              </w:rPr>
              <w:t xml:space="preserve"> State contractor will also conduct supplemental assessment activities. Activities will </w:t>
            </w:r>
            <w:r w:rsidRPr="00EF3CE1">
              <w:rPr>
                <w:sz w:val="28"/>
                <w:szCs w:val="28"/>
              </w:rPr>
              <w:t>include</w:t>
            </w:r>
            <w:r>
              <w:rPr>
                <w:sz w:val="28"/>
                <w:szCs w:val="28"/>
              </w:rPr>
              <w:t xml:space="preserve"> </w:t>
            </w:r>
            <w:r w:rsidRPr="00EF3CE1">
              <w:rPr>
                <w:sz w:val="28"/>
                <w:szCs w:val="28"/>
              </w:rPr>
              <w:t xml:space="preserve">DPT groundwater sampling, monitor well installation and sampling </w:t>
            </w:r>
            <w:r>
              <w:rPr>
                <w:sz w:val="28"/>
                <w:szCs w:val="28"/>
              </w:rPr>
              <w:t xml:space="preserve">and </w:t>
            </w:r>
            <w:r w:rsidRPr="00EF3CE1">
              <w:rPr>
                <w:sz w:val="28"/>
                <w:szCs w:val="28"/>
              </w:rPr>
              <w:t>the collection o</w:t>
            </w:r>
            <w:r>
              <w:rPr>
                <w:sz w:val="28"/>
                <w:szCs w:val="28"/>
              </w:rPr>
              <w:t xml:space="preserve">f </w:t>
            </w:r>
            <w:r w:rsidRPr="00EF3CE1">
              <w:rPr>
                <w:sz w:val="28"/>
                <w:szCs w:val="28"/>
              </w:rPr>
              <w:t>surface water, sediment, and soil samples</w:t>
            </w:r>
            <w:r>
              <w:rPr>
                <w:sz w:val="28"/>
                <w:szCs w:val="28"/>
              </w:rPr>
              <w:t>. Activities are to commence early July 2023.</w:t>
            </w:r>
          </w:p>
        </w:tc>
      </w:tr>
      <w:tr w:rsidR="003C334F" w14:paraId="1EEB1CF8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0FC090AF" w14:textId="45E0946A" w:rsidR="003C334F" w:rsidRDefault="003C334F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1/10/24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697B400B" w14:textId="2A36F1B2" w:rsidR="003C334F" w:rsidRPr="009378BF" w:rsidRDefault="003C334F" w:rsidP="00F77EE2">
            <w:pPr>
              <w:jc w:val="center"/>
              <w:rPr>
                <w:sz w:val="28"/>
                <w:szCs w:val="28"/>
              </w:rPr>
            </w:pPr>
            <w:r w:rsidRPr="004A4724">
              <w:rPr>
                <w:sz w:val="28"/>
                <w:szCs w:val="28"/>
              </w:rPr>
              <w:t>Supplemental Site Assessment Activities Completed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854E839" w14:textId="4E67721F" w:rsidR="003C334F" w:rsidRPr="00EF3CE1" w:rsidRDefault="003C334F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–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C5DA0B5" w14:textId="6E0BF427" w:rsidR="003C334F" w:rsidRPr="00EF3CE1" w:rsidRDefault="003C334F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groundwater and soil delineation complete. SSAR due January 19, 2024.</w:t>
            </w:r>
          </w:p>
        </w:tc>
      </w:tr>
      <w:tr w:rsidR="005E074B" w14:paraId="2094ADC5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5903838D" w14:textId="09E6B60E" w:rsidR="005E074B" w:rsidRDefault="005E074B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5/3/2024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76DAACA8" w14:textId="63D25D53" w:rsidR="005E074B" w:rsidRPr="004A4724" w:rsidRDefault="005E074B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Chronology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E1EB393" w14:textId="35DF961C" w:rsidR="005E074B" w:rsidRDefault="005E074B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–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ADBE2B3" w14:textId="4E721646" w:rsidR="005E074B" w:rsidRDefault="005E074B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SSAR was submitted on 1/31/2024. A review was conducted and was sent back with comments and requested revisions.</w:t>
            </w:r>
          </w:p>
        </w:tc>
      </w:tr>
      <w:tr w:rsidR="0094310C" w14:paraId="058F5AB5" w14:textId="77777777" w:rsidTr="00552A76">
        <w:trPr>
          <w:cantSplit/>
          <w:trHeight w:val="1590"/>
        </w:trPr>
        <w:tc>
          <w:tcPr>
            <w:tcW w:w="998" w:type="pct"/>
            <w:tcBorders>
              <w:top w:val="single" w:sz="12" w:space="0" w:color="8EAADB"/>
              <w:bottom w:val="single" w:sz="12" w:space="0" w:color="8EAADB"/>
            </w:tcBorders>
          </w:tcPr>
          <w:p w14:paraId="1E16894A" w14:textId="65A2DCBB" w:rsidR="0094310C" w:rsidRDefault="0094310C" w:rsidP="00552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8/28/24</w:t>
            </w:r>
          </w:p>
        </w:tc>
        <w:tc>
          <w:tcPr>
            <w:tcW w:w="1334" w:type="pct"/>
            <w:tcBorders>
              <w:top w:val="single" w:sz="12" w:space="0" w:color="8EAADB"/>
              <w:bottom w:val="single" w:sz="12" w:space="0" w:color="8EAADB"/>
            </w:tcBorders>
          </w:tcPr>
          <w:p w14:paraId="619DA7DC" w14:textId="1A586B29" w:rsidR="0094310C" w:rsidRDefault="0094310C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Chronology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83D83CD" w14:textId="3659B74C" w:rsidR="0094310C" w:rsidRDefault="0094310C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–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AF64A5A" w14:textId="43790FE4" w:rsidR="0094310C" w:rsidRDefault="0094310C" w:rsidP="00F77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SSAR was approved. TEAMS meeting was conducted on 8/7/24 to discuss results and path forward. DEP requested proposal for additional assessment activities. </w:t>
            </w:r>
          </w:p>
        </w:tc>
      </w:tr>
    </w:tbl>
    <w:p w14:paraId="5A79FED2" w14:textId="77777777" w:rsidR="00F106E6" w:rsidRDefault="00F106E6" w:rsidP="003E031A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36864"/>
    <w:rsid w:val="0006357C"/>
    <w:rsid w:val="000701CB"/>
    <w:rsid w:val="00095170"/>
    <w:rsid w:val="001B46D9"/>
    <w:rsid w:val="001F58D8"/>
    <w:rsid w:val="002A14E4"/>
    <w:rsid w:val="00363E40"/>
    <w:rsid w:val="003C334F"/>
    <w:rsid w:val="003C39D8"/>
    <w:rsid w:val="003E031A"/>
    <w:rsid w:val="00464918"/>
    <w:rsid w:val="004C4538"/>
    <w:rsid w:val="00505EEE"/>
    <w:rsid w:val="00540391"/>
    <w:rsid w:val="00552608"/>
    <w:rsid w:val="00552A76"/>
    <w:rsid w:val="005C662D"/>
    <w:rsid w:val="005E074B"/>
    <w:rsid w:val="00635B73"/>
    <w:rsid w:val="00652A40"/>
    <w:rsid w:val="00666344"/>
    <w:rsid w:val="00791A44"/>
    <w:rsid w:val="007E3FA3"/>
    <w:rsid w:val="00801CE0"/>
    <w:rsid w:val="008347AC"/>
    <w:rsid w:val="008B54C1"/>
    <w:rsid w:val="008C766E"/>
    <w:rsid w:val="00934114"/>
    <w:rsid w:val="009378BF"/>
    <w:rsid w:val="0094310C"/>
    <w:rsid w:val="009E7083"/>
    <w:rsid w:val="00A275A3"/>
    <w:rsid w:val="00A836EC"/>
    <w:rsid w:val="00B03B97"/>
    <w:rsid w:val="00B86CE0"/>
    <w:rsid w:val="00BE307B"/>
    <w:rsid w:val="00CE30F6"/>
    <w:rsid w:val="00D035D4"/>
    <w:rsid w:val="00D16CDE"/>
    <w:rsid w:val="00D24172"/>
    <w:rsid w:val="00D97A00"/>
    <w:rsid w:val="00DC5B3B"/>
    <w:rsid w:val="00E52A80"/>
    <w:rsid w:val="00E71BCA"/>
    <w:rsid w:val="00EE030F"/>
    <w:rsid w:val="00EE4420"/>
    <w:rsid w:val="00EF3CE1"/>
    <w:rsid w:val="00F106E6"/>
    <w:rsid w:val="00F10806"/>
    <w:rsid w:val="00F14621"/>
    <w:rsid w:val="00F31F0F"/>
    <w:rsid w:val="00F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0728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8347AC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Travis, John</cp:lastModifiedBy>
  <cp:revision>2</cp:revision>
  <dcterms:created xsi:type="dcterms:W3CDTF">2024-08-28T19:22:00Z</dcterms:created>
  <dcterms:modified xsi:type="dcterms:W3CDTF">2024-08-28T19:22:00Z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