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7"/>
        <w:gridCol w:w="6083"/>
      </w:tblGrid>
      <w:tr w:rsidR="00B3307F" w:rsidRPr="00825EC7" w:rsidTr="00BC3AA0">
        <w:trPr>
          <w:trHeight w:val="1340"/>
        </w:trPr>
        <w:tc>
          <w:tcPr>
            <w:tcW w:w="3339" w:type="dxa"/>
          </w:tcPr>
          <w:p w:rsidR="00B3307F" w:rsidRPr="00825EC7" w:rsidRDefault="00434642" w:rsidP="00BC3AA0">
            <w:pPr>
              <w:pStyle w:val="ListParagraph"/>
              <w:ind w:left="0"/>
              <w:jc w:val="center"/>
              <w:rPr>
                <w:b/>
                <w:sz w:val="40"/>
                <w:szCs w:val="40"/>
              </w:rPr>
            </w:pPr>
            <w:r>
              <w:rPr>
                <w:b/>
                <w:noProof/>
                <w:sz w:val="40"/>
                <w:szCs w:val="40"/>
              </w:rPr>
              <w:drawing>
                <wp:inline distT="0" distB="0" distL="0" distR="0">
                  <wp:extent cx="847725" cy="847725"/>
                  <wp:effectExtent l="0" t="0" r="9525" b="9525"/>
                  <wp:docPr id="1" name="Picture 1"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a:stretch>
                            <a:fillRect/>
                          </a:stretch>
                        </pic:blipFill>
                        <pic:spPr>
                          <a:xfrm flipH="1">
                            <a:off x="0" y="0"/>
                            <a:ext cx="847725" cy="847725"/>
                          </a:xfrm>
                          <a:prstGeom prst="rect">
                            <a:avLst/>
                          </a:prstGeom>
                        </pic:spPr>
                      </pic:pic>
                    </a:graphicData>
                  </a:graphic>
                </wp:inline>
              </w:drawing>
            </w:r>
          </w:p>
        </w:tc>
        <w:tc>
          <w:tcPr>
            <w:tcW w:w="6237" w:type="dxa"/>
          </w:tcPr>
          <w:p w:rsidR="00B3307F" w:rsidRPr="00825EC7" w:rsidRDefault="00B3307F" w:rsidP="00BC3AA0">
            <w:pPr>
              <w:pStyle w:val="ListParagraph"/>
              <w:ind w:left="0"/>
              <w:jc w:val="center"/>
              <w:rPr>
                <w:b/>
                <w:sz w:val="44"/>
                <w:szCs w:val="44"/>
              </w:rPr>
            </w:pPr>
            <w:r w:rsidRPr="00825EC7">
              <w:rPr>
                <w:b/>
                <w:sz w:val="40"/>
                <w:szCs w:val="40"/>
              </w:rPr>
              <w:t>Department of Environmental Protection</w:t>
            </w:r>
          </w:p>
        </w:tc>
      </w:tr>
      <w:tr w:rsidR="00B3307F" w:rsidRPr="00825EC7" w:rsidTr="00465E08">
        <w:tc>
          <w:tcPr>
            <w:tcW w:w="3339" w:type="dxa"/>
            <w:vAlign w:val="bottom"/>
          </w:tcPr>
          <w:p w:rsidR="00B3307F" w:rsidRPr="00825EC7" w:rsidRDefault="00EB68B8" w:rsidP="00381397">
            <w:pPr>
              <w:pStyle w:val="ListParagraph"/>
              <w:ind w:left="0"/>
              <w:rPr>
                <w:b/>
                <w:i/>
                <w:sz w:val="26"/>
                <w:szCs w:val="26"/>
              </w:rPr>
            </w:pPr>
            <w:r w:rsidRPr="00EB68B8">
              <w:rPr>
                <w:b/>
                <w:i/>
                <w:sz w:val="26"/>
                <w:szCs w:val="26"/>
              </w:rPr>
              <w:t>STD-09061812.</w:t>
            </w:r>
            <w:r w:rsidR="00381397">
              <w:rPr>
                <w:b/>
                <w:i/>
                <w:sz w:val="26"/>
                <w:szCs w:val="26"/>
              </w:rPr>
              <w:t>2</w:t>
            </w:r>
            <w:r w:rsidRPr="00EB68B8">
              <w:rPr>
                <w:b/>
                <w:i/>
                <w:sz w:val="26"/>
                <w:szCs w:val="26"/>
              </w:rPr>
              <w:t>.0</w:t>
            </w:r>
          </w:p>
        </w:tc>
        <w:tc>
          <w:tcPr>
            <w:tcW w:w="6237" w:type="dxa"/>
          </w:tcPr>
          <w:p w:rsidR="00B3307F" w:rsidRPr="00FC01CE" w:rsidRDefault="00B85C5C" w:rsidP="00381397">
            <w:pPr>
              <w:jc w:val="right"/>
            </w:pPr>
            <w:r w:rsidRPr="00B85C5C">
              <w:rPr>
                <w:b/>
                <w:i/>
              </w:rPr>
              <w:t xml:space="preserve">Page 1 of </w:t>
            </w:r>
            <w:r w:rsidR="00381397">
              <w:rPr>
                <w:b/>
                <w:i/>
              </w:rPr>
              <w:t>8</w:t>
            </w:r>
          </w:p>
        </w:tc>
      </w:tr>
      <w:tr w:rsidR="00B3307F" w:rsidRPr="00825EC7" w:rsidTr="00BC3AA0">
        <w:tc>
          <w:tcPr>
            <w:tcW w:w="9576" w:type="dxa"/>
            <w:gridSpan w:val="2"/>
            <w:vAlign w:val="bottom"/>
          </w:tcPr>
          <w:p w:rsidR="00B3307F" w:rsidRPr="006E764E" w:rsidRDefault="00B3307F" w:rsidP="00465E08">
            <w:pPr>
              <w:pStyle w:val="ListParagraph"/>
              <w:spacing w:before="60" w:after="60"/>
              <w:ind w:left="0"/>
              <w:jc w:val="center"/>
              <w:rPr>
                <w:b/>
                <w:i/>
                <w:sz w:val="32"/>
                <w:szCs w:val="32"/>
              </w:rPr>
            </w:pPr>
            <w:r>
              <w:rPr>
                <w:b/>
                <w:sz w:val="32"/>
                <w:szCs w:val="32"/>
              </w:rPr>
              <w:t>Portal Standard</w:t>
            </w:r>
          </w:p>
        </w:tc>
      </w:tr>
    </w:tbl>
    <w:p w:rsidR="00B3307F" w:rsidRPr="00C6331F" w:rsidRDefault="00B3307F" w:rsidP="004C2628">
      <w:pPr>
        <w:pStyle w:val="Heading1"/>
      </w:pPr>
      <w:bookmarkStart w:id="0" w:name="_Toc192495798"/>
      <w:bookmarkStart w:id="1" w:name="_Toc228163255"/>
      <w:r w:rsidRPr="00C6331F">
        <w:t>Purpose</w:t>
      </w:r>
      <w:bookmarkEnd w:id="0"/>
      <w:bookmarkEnd w:id="1"/>
    </w:p>
    <w:p w:rsidR="00B3307F" w:rsidRDefault="00B3307F" w:rsidP="00242EAB">
      <w:pPr>
        <w:pStyle w:val="ListParagraph"/>
        <w:ind w:left="0"/>
        <w:rPr>
          <w:szCs w:val="24"/>
        </w:rPr>
      </w:pPr>
      <w:r w:rsidRPr="009626C7">
        <w:rPr>
          <w:szCs w:val="24"/>
        </w:rPr>
        <w:t xml:space="preserve">This </w:t>
      </w:r>
      <w:r w:rsidRPr="009626C7">
        <w:t xml:space="preserve">document specifies the Florida Department of Environmental Protection’s (DEP) Portal Standard.  The purpose of this standard is to ensure that DEP application development follows the specifications for integrating with the DEP Portal page, DEP Portlets and </w:t>
      </w:r>
      <w:r w:rsidR="00465E08" w:rsidRPr="009626C7">
        <w:t>Oracle Internet Directory (</w:t>
      </w:r>
      <w:r w:rsidRPr="009626C7">
        <w:t>OID</w:t>
      </w:r>
      <w:r w:rsidR="00465E08" w:rsidRPr="009626C7">
        <w:t>)</w:t>
      </w:r>
      <w:r w:rsidRPr="009626C7">
        <w:t xml:space="preserve"> Security</w:t>
      </w:r>
      <w:r w:rsidRPr="009626C7">
        <w:rPr>
          <w:szCs w:val="24"/>
        </w:rPr>
        <w:t>.</w:t>
      </w:r>
      <w:r>
        <w:rPr>
          <w:szCs w:val="24"/>
        </w:rPr>
        <w:t xml:space="preserve"> </w:t>
      </w:r>
    </w:p>
    <w:p w:rsidR="00B3307F" w:rsidRPr="00C6331F" w:rsidRDefault="00B3307F" w:rsidP="004C2628">
      <w:pPr>
        <w:pStyle w:val="Heading1"/>
      </w:pPr>
      <w:bookmarkStart w:id="2" w:name="_Toc192495799"/>
      <w:bookmarkStart w:id="3" w:name="_Toc228163256"/>
      <w:r w:rsidRPr="00C6331F">
        <w:t>Scope</w:t>
      </w:r>
      <w:bookmarkEnd w:id="2"/>
      <w:bookmarkEnd w:id="3"/>
    </w:p>
    <w:p w:rsidR="00B3307F" w:rsidRDefault="00B3307F" w:rsidP="002C0EF2">
      <w:pPr>
        <w:autoSpaceDE w:val="0"/>
        <w:autoSpaceDN w:val="0"/>
        <w:adjustRightInd w:val="0"/>
        <w:rPr>
          <w:szCs w:val="24"/>
        </w:rPr>
      </w:pPr>
      <w:r>
        <w:rPr>
          <w:szCs w:val="24"/>
        </w:rPr>
        <w:t xml:space="preserve">This standard applies to all application development at DEP.  </w:t>
      </w:r>
    </w:p>
    <w:p w:rsidR="00B3307F" w:rsidRPr="00C6331F" w:rsidRDefault="00B3307F" w:rsidP="004C2628">
      <w:pPr>
        <w:pStyle w:val="Heading1"/>
      </w:pPr>
      <w:bookmarkStart w:id="4" w:name="_Toc192495800"/>
      <w:bookmarkStart w:id="5" w:name="_Toc228163257"/>
      <w:r w:rsidRPr="00C6331F">
        <w:t>Standard</w:t>
      </w:r>
      <w:bookmarkEnd w:id="4"/>
      <w:bookmarkEnd w:id="5"/>
    </w:p>
    <w:p w:rsidR="00B3307F" w:rsidRDefault="00B3307F" w:rsidP="00B85C5C">
      <w:pPr>
        <w:autoSpaceDE w:val="0"/>
        <w:autoSpaceDN w:val="0"/>
        <w:adjustRightInd w:val="0"/>
        <w:rPr>
          <w:szCs w:val="24"/>
        </w:rPr>
      </w:pPr>
      <w:r>
        <w:rPr>
          <w:szCs w:val="24"/>
        </w:rPr>
        <w:t xml:space="preserve">Developers shall </w:t>
      </w:r>
      <w:r w:rsidR="00AA7AB4">
        <w:rPr>
          <w:szCs w:val="24"/>
        </w:rPr>
        <w:t xml:space="preserve">comply with the DEP Portal Specification in the Appendix to this standard.  This specification provides requirements for </w:t>
      </w:r>
      <w:r>
        <w:rPr>
          <w:szCs w:val="24"/>
        </w:rPr>
        <w:t xml:space="preserve">securing DEP applications using Portal, Portlets and OID Security. </w:t>
      </w:r>
      <w:r w:rsidRPr="00323492">
        <w:rPr>
          <w:szCs w:val="24"/>
        </w:rPr>
        <w:t xml:space="preserve"> </w:t>
      </w:r>
    </w:p>
    <w:p w:rsidR="00B3307F" w:rsidRDefault="00B3307F" w:rsidP="004C2628">
      <w:pPr>
        <w:pStyle w:val="Heading1"/>
        <w:rPr>
          <w:szCs w:val="24"/>
        </w:rPr>
      </w:pPr>
      <w:bookmarkStart w:id="6" w:name="_Toc228163258"/>
      <w:bookmarkStart w:id="7" w:name="_Toc192495802"/>
      <w:r w:rsidRPr="00C6331F">
        <w:t>Deviation from Use</w:t>
      </w:r>
      <w:bookmarkEnd w:id="6"/>
    </w:p>
    <w:p w:rsidR="00B3307F" w:rsidRDefault="00B3307F" w:rsidP="00E9793F">
      <w:r w:rsidRPr="00BC7C47">
        <w:rPr>
          <w:szCs w:val="24"/>
        </w:rPr>
        <w:t xml:space="preserve">Any deviation from this standard shall be documented in associated project and contract documentation. </w:t>
      </w:r>
      <w:r>
        <w:rPr>
          <w:szCs w:val="24"/>
        </w:rPr>
        <w:t xml:space="preserve"> </w:t>
      </w:r>
      <w:r w:rsidRPr="00BC7C47">
        <w:rPr>
          <w:szCs w:val="24"/>
        </w:rPr>
        <w:t xml:space="preserve">For contracts, deviation from standard </w:t>
      </w:r>
      <w:r>
        <w:rPr>
          <w:szCs w:val="24"/>
        </w:rPr>
        <w:t xml:space="preserve">shall </w:t>
      </w:r>
      <w:r w:rsidRPr="00BC7C47">
        <w:rPr>
          <w:szCs w:val="24"/>
        </w:rPr>
        <w:t xml:space="preserve">be documented and approved by the DEP contract manager.  For non-contract work, deviation from use </w:t>
      </w:r>
      <w:r>
        <w:rPr>
          <w:szCs w:val="24"/>
        </w:rPr>
        <w:t xml:space="preserve">shall </w:t>
      </w:r>
      <w:r w:rsidRPr="00BC7C47">
        <w:rPr>
          <w:szCs w:val="24"/>
        </w:rPr>
        <w:t>be documented in the project plan/scope of work and approved by the project manager.</w:t>
      </w:r>
      <w:bookmarkEnd w:id="7"/>
    </w:p>
    <w:p w:rsidR="00B85C5C" w:rsidRDefault="00B85C5C" w:rsidP="004C2628">
      <w:pPr>
        <w:pStyle w:val="Heading1"/>
      </w:pPr>
      <w:bookmarkStart w:id="8" w:name="_Toc228163259"/>
      <w:r>
        <w:t>Appendix</w:t>
      </w:r>
      <w:bookmarkEnd w:id="8"/>
    </w:p>
    <w:p w:rsidR="001A07BF" w:rsidRDefault="00B85C5C" w:rsidP="001A07BF">
      <w:pPr>
        <w:pStyle w:val="Bibliography"/>
        <w:rPr>
          <w:noProof/>
        </w:rPr>
      </w:pPr>
      <w:r>
        <w:rPr>
          <w:i/>
          <w:iCs/>
          <w:noProof/>
        </w:rPr>
        <w:t>Portal Specifications.</w:t>
      </w:r>
    </w:p>
    <w:p w:rsidR="00AA7AB4" w:rsidRDefault="001A07BF" w:rsidP="001A07BF">
      <w:pPr>
        <w:pStyle w:val="Bibliography"/>
      </w:pPr>
      <w:r>
        <w:t xml:space="preserve"> </w:t>
      </w:r>
    </w:p>
    <w:p w:rsidR="00B85C5C" w:rsidRPr="00C86D7E" w:rsidRDefault="00B85C5C" w:rsidP="00B85C5C">
      <w:pPr>
        <w:rPr>
          <w:b/>
        </w:rPr>
      </w:pPr>
      <w:r w:rsidRPr="000F3ECF">
        <w:rPr>
          <w:b/>
        </w:rPr>
        <w:t>Approved by R. John Willmott, CIO</w:t>
      </w:r>
      <w:r w:rsidR="001A07BF">
        <w:rPr>
          <w:b/>
        </w:rPr>
        <w:tab/>
      </w:r>
      <w:r w:rsidR="001A07BF">
        <w:rPr>
          <w:b/>
        </w:rPr>
        <w:tab/>
      </w:r>
      <w:r w:rsidR="001A07BF">
        <w:rPr>
          <w:b/>
        </w:rPr>
        <w:tab/>
      </w:r>
      <w:r w:rsidRPr="00C86D7E">
        <w:rPr>
          <w:b/>
        </w:rPr>
        <w:t>_______</w:t>
      </w:r>
      <w:r w:rsidRPr="00EB68B8">
        <w:rPr>
          <w:b/>
          <w:u w:val="single"/>
        </w:rPr>
        <w:t>__</w:t>
      </w:r>
      <w:r w:rsidR="007250F0">
        <w:rPr>
          <w:b/>
          <w:u w:val="thick"/>
        </w:rPr>
        <w:t xml:space="preserve">4/1/10 </w:t>
      </w:r>
      <w:r w:rsidRPr="00C86D7E">
        <w:rPr>
          <w:b/>
        </w:rPr>
        <w:t>_________</w:t>
      </w:r>
    </w:p>
    <w:p w:rsidR="00B85C5C" w:rsidRDefault="00B85C5C" w:rsidP="00B85C5C">
      <w:pPr>
        <w:ind w:left="5040"/>
      </w:pPr>
      <w:r w:rsidRPr="00C86D7E">
        <w:rPr>
          <w:b/>
        </w:rPr>
        <w:tab/>
        <w:t>Approval Date</w:t>
      </w:r>
    </w:p>
    <w:p w:rsidR="004C2628" w:rsidRDefault="00B85C5C" w:rsidP="004C2628">
      <w:pPr>
        <w:ind w:left="5040"/>
      </w:pPr>
      <w:r>
        <w:br w:type="page"/>
      </w:r>
      <w:bookmarkStart w:id="9" w:name="_Toc228163261"/>
    </w:p>
    <w:p w:rsidR="001A07BF" w:rsidRDefault="001A07BF" w:rsidP="004C2628">
      <w:pPr>
        <w:ind w:left="5040"/>
      </w:pPr>
    </w:p>
    <w:p w:rsidR="001A07BF" w:rsidRDefault="001A07BF" w:rsidP="004C2628">
      <w:pPr>
        <w:ind w:left="5040"/>
      </w:pPr>
    </w:p>
    <w:p w:rsidR="003C1D98" w:rsidRDefault="00B85C5C" w:rsidP="004C2628">
      <w:pPr>
        <w:pStyle w:val="Heading1"/>
        <w:jc w:val="center"/>
      </w:pPr>
      <w:r w:rsidRPr="004C2628">
        <w:rPr>
          <w:sz w:val="36"/>
          <w:szCs w:val="36"/>
        </w:rPr>
        <w:t>Appendix – Portal Specifications</w:t>
      </w:r>
      <w:bookmarkEnd w:id="9"/>
    </w:p>
    <w:p w:rsidR="00B85C5C" w:rsidRDefault="00B85C5C" w:rsidP="00B85C5C"/>
    <w:p w:rsidR="00B85C5C" w:rsidRPr="00B85C5C" w:rsidRDefault="00B85C5C" w:rsidP="00B85C5C"/>
    <w:p w:rsidR="00B85C5C" w:rsidRDefault="00B85C5C" w:rsidP="00B85C5C">
      <w:pPr>
        <w:pStyle w:val="Title"/>
        <w:sectPr w:rsidR="00B85C5C" w:rsidSect="004C2628">
          <w:footerReference w:type="first" r:id="rId13"/>
          <w:pgSz w:w="12240" w:h="15840" w:code="1"/>
          <w:pgMar w:top="1440" w:right="1440" w:bottom="1440" w:left="1440" w:header="720" w:footer="720" w:gutter="0"/>
          <w:cols w:space="720"/>
          <w:docGrid w:linePitch="326"/>
        </w:sectPr>
      </w:pPr>
    </w:p>
    <w:p w:rsidR="00B85C5C" w:rsidRDefault="00B85C5C" w:rsidP="00B85C5C">
      <w:pPr>
        <w:pStyle w:val="Heading1"/>
        <w:pBdr>
          <w:top w:val="single" w:sz="24" w:space="1" w:color="800000"/>
        </w:pBdr>
        <w:tabs>
          <w:tab w:val="left" w:pos="990"/>
        </w:tabs>
        <w:spacing w:after="240"/>
        <w:rPr>
          <w:rFonts w:ascii="Verdana" w:hAnsi="Verdana"/>
          <w:color w:val="800000"/>
          <w:kern w:val="28"/>
        </w:rPr>
      </w:pPr>
      <w:bookmarkStart w:id="10" w:name="_Toc228163262"/>
      <w:bookmarkStart w:id="11" w:name="_Toc423410238"/>
      <w:bookmarkStart w:id="12" w:name="_Toc425054504"/>
      <w:r>
        <w:rPr>
          <w:rFonts w:ascii="Verdana" w:hAnsi="Verdana"/>
          <w:color w:val="800000"/>
          <w:kern w:val="28"/>
        </w:rPr>
        <w:lastRenderedPageBreak/>
        <w:t>Overview</w:t>
      </w:r>
      <w:bookmarkEnd w:id="10"/>
    </w:p>
    <w:p w:rsidR="00B85C5C" w:rsidRPr="00546A78" w:rsidRDefault="00F021A8" w:rsidP="004C2628">
      <w:pPr>
        <w:pStyle w:val="Heading1"/>
        <w:spacing w:before="360"/>
        <w:rPr>
          <w:rFonts w:cs="Arial"/>
          <w:bCs w:val="0"/>
          <w:i/>
          <w:iCs/>
        </w:rPr>
      </w:pPr>
      <w:bookmarkStart w:id="13" w:name="_Toc228163263"/>
      <w:bookmarkEnd w:id="11"/>
      <w:bookmarkEnd w:id="12"/>
      <w:r w:rsidRPr="00F021A8">
        <w:t>Purpose</w:t>
      </w:r>
      <w:bookmarkEnd w:id="13"/>
    </w:p>
    <w:p w:rsidR="00B85C5C" w:rsidRDefault="00465E08" w:rsidP="00B85C5C">
      <w:pPr>
        <w:pStyle w:val="BodyText"/>
        <w:ind w:left="0"/>
      </w:pPr>
      <w:r>
        <w:t xml:space="preserve">This document provides an overview of overview of the </w:t>
      </w:r>
      <w:r w:rsidR="00B85C5C">
        <w:t>DEP Portal, its layout</w:t>
      </w:r>
      <w:r>
        <w:t xml:space="preserve"> and the </w:t>
      </w:r>
      <w:r w:rsidR="00B85C5C">
        <w:t>usage of Portlets on the Portal</w:t>
      </w:r>
      <w:r>
        <w:t xml:space="preserve">.  This document also specifies </w:t>
      </w:r>
      <w:r w:rsidR="00B85C5C">
        <w:t xml:space="preserve">how DEP will </w:t>
      </w:r>
      <w:r>
        <w:t xml:space="preserve">secure those </w:t>
      </w:r>
      <w:r w:rsidR="00B85C5C">
        <w:t>Portlets and the requirements for using the Security features of the Portal and Oracle Identity Management suite of products.</w:t>
      </w:r>
    </w:p>
    <w:p w:rsidR="00B85C5C" w:rsidRPr="004C2628" w:rsidRDefault="00F021A8" w:rsidP="004C2628">
      <w:pPr>
        <w:pStyle w:val="Heading1"/>
        <w:spacing w:before="360"/>
      </w:pPr>
      <w:bookmarkStart w:id="14" w:name="_Toc228163264"/>
      <w:r w:rsidRPr="00F021A8">
        <w:t>Requirements</w:t>
      </w:r>
      <w:bookmarkEnd w:id="14"/>
    </w:p>
    <w:p w:rsidR="00B85C5C" w:rsidRPr="0085210E" w:rsidRDefault="00F021A8" w:rsidP="0085210E">
      <w:pPr>
        <w:pStyle w:val="Heading30"/>
        <w:ind w:firstLine="720"/>
        <w:rPr>
          <w:rFonts w:ascii="Calibri" w:hAnsi="Calibri"/>
          <w:color w:val="365F91"/>
        </w:rPr>
      </w:pPr>
      <w:bookmarkStart w:id="15" w:name="_Toc228163265"/>
      <w:r w:rsidRPr="00F021A8">
        <w:rPr>
          <w:rFonts w:ascii="Calibri" w:hAnsi="Calibri"/>
          <w:color w:val="365F91"/>
        </w:rPr>
        <w:t>Portlet Usage</w:t>
      </w:r>
      <w:bookmarkEnd w:id="15"/>
    </w:p>
    <w:p w:rsidR="00B85C5C" w:rsidRPr="00001518" w:rsidRDefault="00B85C5C" w:rsidP="00B85C5C">
      <w:pPr>
        <w:pStyle w:val="BodyText"/>
      </w:pPr>
      <w:r>
        <w:t xml:space="preserve">All projects’ application entry point will be linked to via static URLs to be placed into the respective Portlet for the application.  The placement of the link in a portlet will be based upon the scope of the project’s users and must be approved by OTIS staff prior to </w:t>
      </w:r>
      <w:r w:rsidRPr="00E73BD0">
        <w:rPr>
          <w:szCs w:val="24"/>
        </w:rPr>
        <w:t xml:space="preserve">implementation. </w:t>
      </w:r>
      <w:r w:rsidR="00465E08">
        <w:rPr>
          <w:szCs w:val="24"/>
        </w:rPr>
        <w:t xml:space="preserve"> </w:t>
      </w:r>
      <w:r w:rsidRPr="00E73BD0">
        <w:rPr>
          <w:szCs w:val="24"/>
        </w:rPr>
        <w:t>Only OTIS technical resources may make changes to the portlets, and all</w:t>
      </w:r>
      <w:r>
        <w:t xml:space="preserve"> changes must be pre-approved.</w:t>
      </w:r>
    </w:p>
    <w:p w:rsidR="00B85C5C" w:rsidRPr="0085210E" w:rsidRDefault="00F021A8" w:rsidP="0085210E">
      <w:pPr>
        <w:pStyle w:val="Heading30"/>
        <w:ind w:firstLine="720"/>
        <w:rPr>
          <w:rFonts w:ascii="Calibri" w:hAnsi="Calibri"/>
          <w:color w:val="365F91"/>
        </w:rPr>
      </w:pPr>
      <w:bookmarkStart w:id="16" w:name="_Toc228163266"/>
      <w:r w:rsidRPr="00F021A8">
        <w:rPr>
          <w:rFonts w:ascii="Calibri" w:hAnsi="Calibri"/>
          <w:color w:val="365F91"/>
        </w:rPr>
        <w:t>Single Sign On</w:t>
      </w:r>
      <w:bookmarkEnd w:id="16"/>
    </w:p>
    <w:p w:rsidR="00B85C5C" w:rsidRPr="00001518" w:rsidRDefault="00B85C5C" w:rsidP="00B85C5C">
      <w:pPr>
        <w:pStyle w:val="BodyText"/>
      </w:pPr>
      <w:r>
        <w:t xml:space="preserve">All applications will be secured behind the Single Sign On features of the Oracle Identity Management suite and all applications will use the supplied Authentication Filter found in the </w:t>
      </w:r>
      <w:r w:rsidR="006E2365">
        <w:t>SVN</w:t>
      </w:r>
      <w:r>
        <w:t xml:space="preserve"> repository as module </w:t>
      </w:r>
      <w:r w:rsidR="006E2365">
        <w:t>s</w:t>
      </w:r>
      <w:r w:rsidRPr="00F47719">
        <w:t>ecurity</w:t>
      </w:r>
      <w:r w:rsidR="006E2365">
        <w:t>m</w:t>
      </w:r>
      <w:r w:rsidRPr="00F47719">
        <w:t>anager-n.n.n.jar (use most current version),</w:t>
      </w:r>
      <w:r>
        <w:t xml:space="preserve"> and available via the OTIS technical Wiki found on the DEP Integration platform Portal.</w:t>
      </w:r>
    </w:p>
    <w:p w:rsidR="00B85C5C" w:rsidRPr="0085210E" w:rsidRDefault="00F021A8" w:rsidP="0085210E">
      <w:pPr>
        <w:pStyle w:val="Heading30"/>
        <w:ind w:firstLine="720"/>
        <w:rPr>
          <w:rFonts w:ascii="Calibri" w:hAnsi="Calibri"/>
          <w:color w:val="365F91"/>
        </w:rPr>
      </w:pPr>
      <w:bookmarkStart w:id="17" w:name="_Toc228163267"/>
      <w:proofErr w:type="spellStart"/>
      <w:r w:rsidRPr="00F021A8">
        <w:rPr>
          <w:rFonts w:ascii="Calibri" w:hAnsi="Calibri"/>
          <w:color w:val="365F91"/>
        </w:rPr>
        <w:t>Self Registration</w:t>
      </w:r>
      <w:bookmarkEnd w:id="17"/>
      <w:proofErr w:type="spellEnd"/>
    </w:p>
    <w:p w:rsidR="00B85C5C" w:rsidRDefault="00B85C5C" w:rsidP="00B85C5C">
      <w:pPr>
        <w:pStyle w:val="BodyText"/>
      </w:pPr>
      <w:r>
        <w:t xml:space="preserve">All external users will self-register on the DEP Portal and maintain their own </w:t>
      </w:r>
      <w:proofErr w:type="spellStart"/>
      <w:r>
        <w:t>userids</w:t>
      </w:r>
      <w:proofErr w:type="spellEnd"/>
      <w:r>
        <w:t>, passwords, and PINs through the Portal and the DEP Security Suite found under the Enterprise Tools “Security Management” portlet.</w:t>
      </w:r>
    </w:p>
    <w:p w:rsidR="00B85C5C" w:rsidRPr="00001518" w:rsidRDefault="00B85C5C" w:rsidP="00B85C5C">
      <w:pPr>
        <w:pStyle w:val="para"/>
      </w:pPr>
      <w:r>
        <w:br w:type="page"/>
      </w:r>
    </w:p>
    <w:p w:rsidR="00B85C5C" w:rsidRPr="00D1409E" w:rsidRDefault="00B85C5C" w:rsidP="00B85C5C">
      <w:pPr>
        <w:pStyle w:val="Heading1"/>
        <w:pBdr>
          <w:top w:val="single" w:sz="24" w:space="1" w:color="800000"/>
        </w:pBdr>
        <w:tabs>
          <w:tab w:val="left" w:pos="990"/>
        </w:tabs>
        <w:spacing w:after="240"/>
        <w:rPr>
          <w:rFonts w:ascii="Verdana" w:hAnsi="Verdana"/>
          <w:color w:val="800000"/>
          <w:kern w:val="28"/>
        </w:rPr>
      </w:pPr>
      <w:bookmarkStart w:id="18" w:name="_Toc228163268"/>
      <w:r w:rsidRPr="00D1409E">
        <w:rPr>
          <w:rFonts w:ascii="Verdana" w:hAnsi="Verdana"/>
          <w:color w:val="800000"/>
          <w:kern w:val="28"/>
        </w:rPr>
        <w:lastRenderedPageBreak/>
        <w:t>Background</w:t>
      </w:r>
      <w:bookmarkEnd w:id="18"/>
    </w:p>
    <w:p w:rsidR="00B85C5C" w:rsidRPr="00664A90" w:rsidRDefault="00B85C5C" w:rsidP="00B85C5C">
      <w:pPr>
        <w:pStyle w:val="BodyText"/>
        <w:ind w:left="0"/>
      </w:pPr>
      <w:r>
        <w:t>DEP has chosen the Oracle Portal environment as the sole environment for all new development work.  The Oracle Identity Management suite is the tool of choice for all security in this framework.</w:t>
      </w:r>
    </w:p>
    <w:p w:rsidR="00B85C5C" w:rsidRPr="004C2628" w:rsidRDefault="00F021A8" w:rsidP="004C2628">
      <w:pPr>
        <w:pStyle w:val="Heading1"/>
        <w:spacing w:before="360"/>
      </w:pPr>
      <w:bookmarkStart w:id="19" w:name="_Toc228163269"/>
      <w:r w:rsidRPr="00F021A8">
        <w:t>Portal</w:t>
      </w:r>
      <w:bookmarkEnd w:id="19"/>
      <w:r w:rsidRPr="00F021A8">
        <w:t xml:space="preserve"> </w:t>
      </w:r>
    </w:p>
    <w:p w:rsidR="00B85C5C" w:rsidRDefault="00B85C5C" w:rsidP="00B85C5C">
      <w:pPr>
        <w:pStyle w:val="BodyText"/>
        <w:ind w:left="0"/>
      </w:pPr>
      <w:r w:rsidRPr="00EC18BA">
        <w:t>The Oracle Portal has been chosen as the core product suite and will feature pages for initial access with links to open (non-secured) applications – such as subscription services and mapping tools – and a page for secured application access.</w:t>
      </w:r>
      <w:r>
        <w:t xml:space="preserve"> This is a sample of the proposed Public page for the Portal – the first page that all users will see when accessing DEP from outside the agency.</w:t>
      </w:r>
    </w:p>
    <w:p w:rsidR="00B85C5C" w:rsidRDefault="00B85C5C" w:rsidP="00B85C5C">
      <w:pPr>
        <w:pStyle w:val="BodyText"/>
        <w:ind w:left="0"/>
      </w:pPr>
    </w:p>
    <w:p w:rsidR="00B85C5C" w:rsidRPr="00EC18BA" w:rsidRDefault="00434642" w:rsidP="00B85C5C">
      <w:pPr>
        <w:pStyle w:val="BodyText"/>
      </w:pPr>
      <w:r>
        <w:rPr>
          <w:noProof/>
        </w:rPr>
        <w:drawing>
          <wp:inline distT="0" distB="0" distL="0" distR="0">
            <wp:extent cx="5248275" cy="4010025"/>
            <wp:effectExtent l="0" t="0" r="0" b="0"/>
            <wp:docPr id="3" name="Picture 1" descr="small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publ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4010025"/>
                    </a:xfrm>
                    <a:prstGeom prst="rect">
                      <a:avLst/>
                    </a:prstGeom>
                    <a:noFill/>
                    <a:ln>
                      <a:noFill/>
                    </a:ln>
                  </pic:spPr>
                </pic:pic>
              </a:graphicData>
            </a:graphic>
          </wp:inline>
        </w:drawing>
      </w:r>
    </w:p>
    <w:p w:rsidR="00B85C5C" w:rsidRDefault="00B85C5C" w:rsidP="00B85C5C">
      <w:pPr>
        <w:pStyle w:val="FigureTitle"/>
      </w:pPr>
      <w:bookmarkStart w:id="20" w:name="_Toc228163270"/>
      <w:r>
        <w:rPr>
          <w:rFonts w:eastAsia="Arial Unicode MS"/>
        </w:rPr>
        <w:t xml:space="preserve">Figure </w:t>
      </w:r>
      <w:r w:rsidR="00CD7D56">
        <w:rPr>
          <w:rFonts w:eastAsia="Arial Unicode MS"/>
        </w:rPr>
        <w:fldChar w:fldCharType="begin"/>
      </w:r>
      <w:r>
        <w:rPr>
          <w:rFonts w:eastAsia="Arial Unicode MS"/>
        </w:rPr>
        <w:instrText xml:space="preserve"> STYLEREF 1 \s </w:instrText>
      </w:r>
      <w:r w:rsidR="00CD7D56">
        <w:rPr>
          <w:rFonts w:eastAsia="Arial Unicode MS"/>
        </w:rPr>
        <w:fldChar w:fldCharType="separate"/>
      </w:r>
      <w:r w:rsidR="00381397">
        <w:rPr>
          <w:rFonts w:eastAsia="Arial Unicode MS"/>
          <w:noProof/>
        </w:rPr>
        <w:t>0</w:t>
      </w:r>
      <w:r w:rsidR="00CD7D56">
        <w:rPr>
          <w:rFonts w:eastAsia="Arial Unicode MS"/>
        </w:rPr>
        <w:fldChar w:fldCharType="end"/>
      </w:r>
      <w:r>
        <w:rPr>
          <w:rFonts w:eastAsia="Arial Unicode MS"/>
        </w:rPr>
        <w:noBreakHyphen/>
      </w:r>
      <w:r w:rsidR="00CD7D56">
        <w:rPr>
          <w:rFonts w:eastAsia="Arial Unicode MS"/>
        </w:rPr>
        <w:fldChar w:fldCharType="begin"/>
      </w:r>
      <w:r>
        <w:rPr>
          <w:rFonts w:eastAsia="Arial Unicode MS"/>
        </w:rPr>
        <w:instrText xml:space="preserve"> SEQ Figure \* ARABIC \s 1 </w:instrText>
      </w:r>
      <w:r w:rsidR="00CD7D56">
        <w:rPr>
          <w:rFonts w:eastAsia="Arial Unicode MS"/>
        </w:rPr>
        <w:fldChar w:fldCharType="separate"/>
      </w:r>
      <w:r w:rsidR="00381397">
        <w:rPr>
          <w:rFonts w:eastAsia="Arial Unicode MS"/>
          <w:noProof/>
        </w:rPr>
        <w:t>1</w:t>
      </w:r>
      <w:r w:rsidR="00CD7D56">
        <w:rPr>
          <w:rFonts w:eastAsia="Arial Unicode MS"/>
        </w:rPr>
        <w:fldChar w:fldCharType="end"/>
      </w:r>
      <w:r>
        <w:rPr>
          <w:rFonts w:eastAsia="Arial Unicode MS"/>
        </w:rPr>
        <w:t>.  Public Portal Page</w:t>
      </w:r>
      <w:bookmarkEnd w:id="20"/>
      <w:r>
        <w:rPr>
          <w:rFonts w:eastAsia="Arial Unicode MS"/>
        </w:rPr>
        <w:t xml:space="preserve"> </w:t>
      </w:r>
    </w:p>
    <w:p w:rsidR="00B85C5C" w:rsidRDefault="00B85C5C" w:rsidP="00B85C5C">
      <w:pPr>
        <w:pStyle w:val="Heading2"/>
        <w:spacing w:before="0"/>
      </w:pPr>
      <w:r>
        <w:br w:type="page"/>
      </w:r>
    </w:p>
    <w:p w:rsidR="00B85C5C" w:rsidRPr="004C2628" w:rsidRDefault="00F021A8" w:rsidP="004C2628">
      <w:pPr>
        <w:pStyle w:val="Heading1"/>
        <w:spacing w:before="360"/>
      </w:pPr>
      <w:bookmarkStart w:id="21" w:name="_Toc228163271"/>
      <w:r w:rsidRPr="00F021A8">
        <w:lastRenderedPageBreak/>
        <w:t>Portlets</w:t>
      </w:r>
      <w:bookmarkEnd w:id="21"/>
    </w:p>
    <w:p w:rsidR="00B85C5C" w:rsidRDefault="00B85C5C" w:rsidP="00B85C5C">
      <w:pPr>
        <w:pStyle w:val="BodyText"/>
        <w:ind w:left="0"/>
      </w:pPr>
      <w:r>
        <w:t>The primary navigation into FDEP applications, components, and tools will be via links on grouped portlets.  The portlets will be grouped into “Divisional Services”, “Enterprise Services”, and “Enterprise Tools” on the main page, as seen here:</w:t>
      </w:r>
    </w:p>
    <w:p w:rsidR="00B85C5C" w:rsidRDefault="00B85C5C" w:rsidP="00B85C5C">
      <w:pPr>
        <w:pStyle w:val="BodyText"/>
      </w:pPr>
    </w:p>
    <w:p w:rsidR="00B85C5C" w:rsidRPr="00001518" w:rsidRDefault="00434642" w:rsidP="00B85C5C">
      <w:pPr>
        <w:pStyle w:val="BodyText"/>
      </w:pPr>
      <w:r>
        <w:rPr>
          <w:noProof/>
        </w:rPr>
        <w:drawing>
          <wp:inline distT="0" distB="0" distL="0" distR="0">
            <wp:extent cx="5343525" cy="3343275"/>
            <wp:effectExtent l="0" t="0" r="0" b="0"/>
            <wp:docPr id="2" name="Picture 2" descr="New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HomeP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3343275"/>
                    </a:xfrm>
                    <a:prstGeom prst="rect">
                      <a:avLst/>
                    </a:prstGeom>
                    <a:noFill/>
                    <a:ln>
                      <a:noFill/>
                    </a:ln>
                  </pic:spPr>
                </pic:pic>
              </a:graphicData>
            </a:graphic>
          </wp:inline>
        </w:drawing>
      </w:r>
    </w:p>
    <w:p w:rsidR="00B85C5C" w:rsidRDefault="00B85C5C" w:rsidP="00B85C5C">
      <w:pPr>
        <w:pStyle w:val="FigureTitle"/>
        <w:rPr>
          <w:rFonts w:eastAsia="Arial Unicode MS"/>
        </w:rPr>
      </w:pPr>
      <w:bookmarkStart w:id="22" w:name="_Toc228163272"/>
      <w:r>
        <w:rPr>
          <w:rFonts w:eastAsia="Arial Unicode MS"/>
        </w:rPr>
        <w:t xml:space="preserve">Figure </w:t>
      </w:r>
      <w:r w:rsidR="00CD7D56">
        <w:rPr>
          <w:rFonts w:eastAsia="Arial Unicode MS"/>
        </w:rPr>
        <w:fldChar w:fldCharType="begin"/>
      </w:r>
      <w:r>
        <w:rPr>
          <w:rFonts w:eastAsia="Arial Unicode MS"/>
        </w:rPr>
        <w:instrText xml:space="preserve"> STYLEREF 1 \s </w:instrText>
      </w:r>
      <w:r w:rsidR="00CD7D56">
        <w:rPr>
          <w:rFonts w:eastAsia="Arial Unicode MS"/>
        </w:rPr>
        <w:fldChar w:fldCharType="separate"/>
      </w:r>
      <w:r w:rsidR="00381397">
        <w:rPr>
          <w:rFonts w:eastAsia="Arial Unicode MS"/>
          <w:noProof/>
        </w:rPr>
        <w:t>0</w:t>
      </w:r>
      <w:r w:rsidR="00CD7D56">
        <w:rPr>
          <w:rFonts w:eastAsia="Arial Unicode MS"/>
        </w:rPr>
        <w:fldChar w:fldCharType="end"/>
      </w:r>
      <w:r>
        <w:rPr>
          <w:rFonts w:eastAsia="Arial Unicode MS"/>
        </w:rPr>
        <w:noBreakHyphen/>
        <w:t>2.  Secure Access Portal Page</w:t>
      </w:r>
      <w:bookmarkEnd w:id="22"/>
      <w:r>
        <w:rPr>
          <w:rFonts w:eastAsia="Arial Unicode MS"/>
        </w:rPr>
        <w:t xml:space="preserve"> </w:t>
      </w:r>
    </w:p>
    <w:p w:rsidR="00B85C5C" w:rsidRDefault="00B85C5C" w:rsidP="00B85C5C">
      <w:pPr>
        <w:rPr>
          <w:rFonts w:ascii="Verdana" w:hAnsi="Verdana"/>
          <w:b/>
          <w:color w:val="800000"/>
          <w:kern w:val="28"/>
          <w:sz w:val="28"/>
        </w:rPr>
      </w:pPr>
      <w:r>
        <w:rPr>
          <w:rFonts w:ascii="Verdana" w:hAnsi="Verdana"/>
          <w:color w:val="800000"/>
          <w:kern w:val="28"/>
        </w:rPr>
        <w:br w:type="page"/>
      </w:r>
    </w:p>
    <w:p w:rsidR="00B85C5C" w:rsidRPr="00F85A12" w:rsidRDefault="00B85C5C" w:rsidP="00381397">
      <w:pPr>
        <w:pStyle w:val="Heading1"/>
        <w:pBdr>
          <w:top w:val="single" w:sz="24" w:space="1" w:color="800000"/>
        </w:pBdr>
        <w:tabs>
          <w:tab w:val="left" w:pos="990"/>
        </w:tabs>
        <w:spacing w:before="120" w:after="240"/>
        <w:rPr>
          <w:rFonts w:ascii="Verdana" w:hAnsi="Verdana"/>
          <w:color w:val="800000"/>
          <w:kern w:val="28"/>
        </w:rPr>
      </w:pPr>
      <w:bookmarkStart w:id="23" w:name="_Toc228163273"/>
      <w:r w:rsidRPr="00F85A12">
        <w:rPr>
          <w:rFonts w:ascii="Verdana" w:hAnsi="Verdana"/>
          <w:color w:val="800000"/>
          <w:kern w:val="28"/>
        </w:rPr>
        <w:lastRenderedPageBreak/>
        <w:t>Security</w:t>
      </w:r>
      <w:bookmarkEnd w:id="23"/>
    </w:p>
    <w:p w:rsidR="00B85C5C" w:rsidRPr="004C2628" w:rsidRDefault="00F021A8" w:rsidP="004C2628">
      <w:pPr>
        <w:pStyle w:val="Heading1"/>
        <w:spacing w:before="360"/>
      </w:pPr>
      <w:bookmarkStart w:id="24" w:name="_Toc228163274"/>
      <w:r w:rsidRPr="00F021A8">
        <w:t>SSO</w:t>
      </w:r>
      <w:bookmarkEnd w:id="24"/>
    </w:p>
    <w:p w:rsidR="00B85C5C" w:rsidRPr="00664A90" w:rsidRDefault="00B85C5C" w:rsidP="00B85C5C">
      <w:pPr>
        <w:pStyle w:val="BodyText"/>
        <w:spacing w:after="240"/>
        <w:ind w:left="0"/>
      </w:pPr>
      <w:r>
        <w:t>The Oracle Single Sign On security framework has been chosen to implement all security for the new environment.  The Portal features a self-registration aspect for the public and other external users of the systems to obtain log-in credentials, to reset lost passwords, and to interact with approved applications of the Agency.</w:t>
      </w:r>
    </w:p>
    <w:p w:rsidR="00B85C5C" w:rsidRPr="004C2628" w:rsidRDefault="00F021A8" w:rsidP="004C2628">
      <w:pPr>
        <w:pStyle w:val="Heading1"/>
        <w:spacing w:before="360"/>
      </w:pPr>
      <w:bookmarkStart w:id="25" w:name="_Toc228163275"/>
      <w:r w:rsidRPr="00F021A8">
        <w:t>Portlet Security</w:t>
      </w:r>
      <w:bookmarkEnd w:id="25"/>
    </w:p>
    <w:p w:rsidR="00B85C5C" w:rsidRDefault="00B85C5C" w:rsidP="00B85C5C">
      <w:pPr>
        <w:pStyle w:val="BodyText"/>
        <w:ind w:left="0"/>
      </w:pPr>
      <w:r>
        <w:t xml:space="preserve">In order to properly secure Portlets without a burdensome level of manual effort, a logical grouping has been proposed which will classify the Portlets into the </w:t>
      </w:r>
      <w:r w:rsidR="00EF530C">
        <w:t>three</w:t>
      </w:r>
      <w:r>
        <w:t xml:space="preserve"> columns shown in Figure 2.2 above.  </w:t>
      </w:r>
    </w:p>
    <w:p w:rsidR="00B85C5C" w:rsidRPr="0067359E" w:rsidRDefault="00F021A8" w:rsidP="00B85C5C">
      <w:pPr>
        <w:pStyle w:val="Heading30"/>
        <w:ind w:firstLine="720"/>
        <w:rPr>
          <w:rFonts w:ascii="Calibri" w:hAnsi="Calibri"/>
          <w:color w:val="365F91"/>
        </w:rPr>
      </w:pPr>
      <w:bookmarkStart w:id="26" w:name="_Toc228163276"/>
      <w:r w:rsidRPr="00F021A8">
        <w:rPr>
          <w:rFonts w:ascii="Calibri" w:hAnsi="Calibri"/>
          <w:color w:val="365F91"/>
        </w:rPr>
        <w:t>Divisional Services</w:t>
      </w:r>
      <w:bookmarkEnd w:id="26"/>
    </w:p>
    <w:p w:rsidR="00B85C5C" w:rsidRPr="00EC18BA" w:rsidRDefault="00B85C5C" w:rsidP="00B85C5C">
      <w:pPr>
        <w:pStyle w:val="BodyText"/>
      </w:pPr>
      <w:r>
        <w:t xml:space="preserve">The group for divisional services encompasses those applications </w:t>
      </w:r>
      <w:r w:rsidR="00A471D6">
        <w:t>that</w:t>
      </w:r>
      <w:r>
        <w:t xml:space="preserve"> are primarily used only by the direct employees of that division.</w:t>
      </w:r>
    </w:p>
    <w:p w:rsidR="00B85C5C" w:rsidRPr="0067359E" w:rsidRDefault="00F021A8" w:rsidP="00B85C5C">
      <w:pPr>
        <w:pStyle w:val="Heading30"/>
        <w:ind w:firstLine="720"/>
        <w:rPr>
          <w:rFonts w:ascii="Calibri" w:hAnsi="Calibri"/>
          <w:color w:val="365F91"/>
        </w:rPr>
      </w:pPr>
      <w:bookmarkStart w:id="27" w:name="_Toc228163277"/>
      <w:smartTag w:uri="urn:schemas-microsoft-com:office:smarttags" w:element="place">
        <w:smartTag w:uri="urn:schemas-microsoft-com:office:smarttags" w:element="City">
          <w:r w:rsidRPr="00F021A8">
            <w:rPr>
              <w:rFonts w:ascii="Calibri" w:hAnsi="Calibri"/>
              <w:color w:val="365F91"/>
            </w:rPr>
            <w:t>Enterprise</w:t>
          </w:r>
        </w:smartTag>
      </w:smartTag>
      <w:r w:rsidRPr="00F021A8">
        <w:rPr>
          <w:rFonts w:ascii="Calibri" w:hAnsi="Calibri"/>
          <w:color w:val="365F91"/>
        </w:rPr>
        <w:t xml:space="preserve"> Services</w:t>
      </w:r>
      <w:bookmarkEnd w:id="27"/>
    </w:p>
    <w:p w:rsidR="00B85C5C" w:rsidRPr="00EC18BA" w:rsidRDefault="00B85C5C" w:rsidP="00B85C5C">
      <w:pPr>
        <w:pStyle w:val="BodyText"/>
      </w:pPr>
      <w:r>
        <w:t xml:space="preserve">The group for Enterprise Services encompasses those applications </w:t>
      </w:r>
      <w:r w:rsidR="00A471D6">
        <w:t>that</w:t>
      </w:r>
      <w:r>
        <w:t xml:space="preserve"> cross</w:t>
      </w:r>
      <w:r w:rsidR="00A471D6">
        <w:t>-</w:t>
      </w:r>
      <w:r>
        <w:t>divisional boundaries or are aligned to the Integrated Management System (IMS) Core Areas.</w:t>
      </w:r>
    </w:p>
    <w:p w:rsidR="00B85C5C" w:rsidRPr="0067359E" w:rsidRDefault="00F021A8" w:rsidP="00B85C5C">
      <w:pPr>
        <w:pStyle w:val="Heading30"/>
        <w:ind w:firstLine="720"/>
        <w:rPr>
          <w:rFonts w:ascii="Calibri" w:hAnsi="Calibri"/>
          <w:color w:val="365F91"/>
        </w:rPr>
      </w:pPr>
      <w:bookmarkStart w:id="28" w:name="_Toc228163278"/>
      <w:smartTag w:uri="urn:schemas-microsoft-com:office:smarttags" w:element="place">
        <w:smartTag w:uri="urn:schemas-microsoft-com:office:smarttags" w:element="City">
          <w:r w:rsidRPr="00F021A8">
            <w:rPr>
              <w:rFonts w:ascii="Calibri" w:hAnsi="Calibri"/>
              <w:color w:val="365F91"/>
            </w:rPr>
            <w:t>Enterprise</w:t>
          </w:r>
        </w:smartTag>
      </w:smartTag>
      <w:r w:rsidRPr="00F021A8">
        <w:rPr>
          <w:rFonts w:ascii="Calibri" w:hAnsi="Calibri"/>
          <w:color w:val="365F91"/>
        </w:rPr>
        <w:t xml:space="preserve"> Tools</w:t>
      </w:r>
      <w:bookmarkEnd w:id="28"/>
    </w:p>
    <w:p w:rsidR="00B85C5C" w:rsidRPr="0091446F" w:rsidRDefault="00B85C5C" w:rsidP="00B85C5C">
      <w:pPr>
        <w:pStyle w:val="BodyText"/>
        <w:spacing w:after="240"/>
      </w:pPr>
      <w:r>
        <w:t xml:space="preserve">The group for Enterprise Tools encompasses those applications </w:t>
      </w:r>
      <w:r w:rsidR="00A471D6">
        <w:t>that</w:t>
      </w:r>
      <w:r>
        <w:t xml:space="preserve"> are above the level of individual applications, or are components used by any application within the Agency.  These include applications used by the development community (such as the DEP Technical Wiki) and Enterprise Tools such as Security Components which all registered users may need.</w:t>
      </w:r>
    </w:p>
    <w:p w:rsidR="00B85C5C" w:rsidRPr="004C2628" w:rsidRDefault="00F021A8" w:rsidP="004C2628">
      <w:pPr>
        <w:pStyle w:val="Heading1"/>
        <w:spacing w:before="360"/>
      </w:pPr>
      <w:bookmarkStart w:id="29" w:name="_Toc228163279"/>
      <w:r w:rsidRPr="00F021A8">
        <w:t>Security Groups</w:t>
      </w:r>
      <w:bookmarkEnd w:id="29"/>
    </w:p>
    <w:p w:rsidR="00B85C5C" w:rsidRPr="00D1513C" w:rsidRDefault="00B85C5C" w:rsidP="00B85C5C">
      <w:pPr>
        <w:pStyle w:val="para"/>
      </w:pPr>
      <w:r>
        <w:t xml:space="preserve">Security groups have been established to further limit access to the Portlets.  The following security groups have been established for the FDEP enterprise: </w:t>
      </w:r>
    </w:p>
    <w:p w:rsidR="00B85C5C" w:rsidRPr="0067359E" w:rsidRDefault="00F021A8" w:rsidP="00B85C5C">
      <w:pPr>
        <w:pStyle w:val="Heading30"/>
        <w:ind w:firstLine="720"/>
        <w:rPr>
          <w:rFonts w:ascii="Calibri" w:hAnsi="Calibri"/>
          <w:color w:val="365F91"/>
        </w:rPr>
      </w:pPr>
      <w:bookmarkStart w:id="30" w:name="_Toc228163280"/>
      <w:r w:rsidRPr="00F021A8">
        <w:rPr>
          <w:rFonts w:ascii="Calibri" w:hAnsi="Calibri"/>
          <w:color w:val="365F91"/>
        </w:rPr>
        <w:t>Divisional Services</w:t>
      </w:r>
      <w:bookmarkEnd w:id="30"/>
    </w:p>
    <w:p w:rsidR="00B85C5C" w:rsidRPr="00191390" w:rsidRDefault="00B85C5C" w:rsidP="00B85C5C">
      <w:pPr>
        <w:ind w:left="720"/>
        <w:rPr>
          <w:rFonts w:ascii="Times New Roman" w:hAnsi="Times New Roman"/>
        </w:rPr>
      </w:pPr>
      <w:r w:rsidRPr="00191390">
        <w:rPr>
          <w:rFonts w:ascii="Times New Roman" w:hAnsi="Times New Roman"/>
        </w:rPr>
        <w:t>The security groups for Divisional Services will be “DIV_” and the Division Acronym.</w:t>
      </w:r>
    </w:p>
    <w:p w:rsidR="00B85C5C" w:rsidRDefault="00B85C5C" w:rsidP="00B85C5C">
      <w:pPr>
        <w:ind w:left="720"/>
      </w:pPr>
    </w:p>
    <w:tbl>
      <w:tblPr>
        <w:tblW w:w="909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410"/>
      </w:tblGrid>
      <w:tr w:rsidR="006E2365" w:rsidRPr="00C12631" w:rsidTr="006E2365">
        <w:tc>
          <w:tcPr>
            <w:tcW w:w="4680" w:type="dxa"/>
            <w:shd w:val="clear" w:color="auto" w:fill="auto"/>
            <w:vAlign w:val="center"/>
          </w:tcPr>
          <w:p w:rsidR="006E2365" w:rsidRPr="006E2365" w:rsidRDefault="006E2365" w:rsidP="006E2365">
            <w:pPr>
              <w:ind w:left="720"/>
            </w:pPr>
            <w:r>
              <w:t>DIV_ARM</w:t>
            </w:r>
          </w:p>
        </w:tc>
        <w:tc>
          <w:tcPr>
            <w:tcW w:w="4410" w:type="dxa"/>
            <w:shd w:val="clear" w:color="auto" w:fill="auto"/>
            <w:vAlign w:val="center"/>
          </w:tcPr>
          <w:p w:rsidR="006E2365" w:rsidRPr="00BA08F5" w:rsidRDefault="006E2365" w:rsidP="006E2365">
            <w:pPr>
              <w:pStyle w:val="ListParagraph"/>
              <w:autoSpaceDE w:val="0"/>
              <w:autoSpaceDN w:val="0"/>
              <w:adjustRightInd w:val="0"/>
              <w:ind w:left="0"/>
              <w:rPr>
                <w:szCs w:val="24"/>
              </w:rPr>
            </w:pPr>
            <w:r>
              <w:rPr>
                <w:szCs w:val="24"/>
              </w:rPr>
              <w:t>Access granted to staff of t</w:t>
            </w:r>
            <w:r w:rsidRPr="00BA08F5">
              <w:rPr>
                <w:szCs w:val="24"/>
              </w:rPr>
              <w:t>he</w:t>
            </w:r>
            <w:r>
              <w:rPr>
                <w:szCs w:val="24"/>
              </w:rPr>
              <w:t xml:space="preserve"> Division of Air Resource Management.</w:t>
            </w:r>
          </w:p>
        </w:tc>
      </w:tr>
      <w:tr w:rsidR="006E2365" w:rsidRPr="00C12631" w:rsidTr="006E2365">
        <w:tc>
          <w:tcPr>
            <w:tcW w:w="4680" w:type="dxa"/>
            <w:shd w:val="clear" w:color="auto" w:fill="auto"/>
            <w:vAlign w:val="center"/>
          </w:tcPr>
          <w:p w:rsidR="006E2365" w:rsidRPr="0029468A" w:rsidRDefault="0029468A" w:rsidP="0029468A">
            <w:pPr>
              <w:ind w:left="720"/>
            </w:pPr>
            <w:r>
              <w:t>DIV_SL</w:t>
            </w:r>
          </w:p>
        </w:tc>
        <w:tc>
          <w:tcPr>
            <w:tcW w:w="4410" w:type="dxa"/>
            <w:shd w:val="clear" w:color="auto" w:fill="auto"/>
            <w:vAlign w:val="center"/>
          </w:tcPr>
          <w:p w:rsidR="006E2365" w:rsidRPr="00BA08F5" w:rsidRDefault="0029468A" w:rsidP="0004758C">
            <w:pPr>
              <w:pStyle w:val="ListParagraph"/>
              <w:autoSpaceDE w:val="0"/>
              <w:autoSpaceDN w:val="0"/>
              <w:adjustRightInd w:val="0"/>
              <w:ind w:left="0"/>
              <w:rPr>
                <w:szCs w:val="24"/>
              </w:rPr>
            </w:pPr>
            <w:r>
              <w:rPr>
                <w:szCs w:val="24"/>
              </w:rPr>
              <w:t>Access granted to staff of t</w:t>
            </w:r>
            <w:r w:rsidRPr="00BA08F5">
              <w:rPr>
                <w:szCs w:val="24"/>
              </w:rPr>
              <w:t>he</w:t>
            </w:r>
            <w:r>
              <w:rPr>
                <w:szCs w:val="24"/>
              </w:rPr>
              <w:t xml:space="preserve"> </w:t>
            </w:r>
            <w:r w:rsidR="006E2365">
              <w:rPr>
                <w:szCs w:val="24"/>
              </w:rPr>
              <w:t>Division of State Lands.</w:t>
            </w:r>
          </w:p>
        </w:tc>
      </w:tr>
      <w:tr w:rsidR="006E2365" w:rsidRPr="00C12631" w:rsidTr="006E2365">
        <w:tc>
          <w:tcPr>
            <w:tcW w:w="4680" w:type="dxa"/>
            <w:shd w:val="clear" w:color="auto" w:fill="auto"/>
            <w:vAlign w:val="center"/>
          </w:tcPr>
          <w:p w:rsidR="006E2365" w:rsidRDefault="006E2365" w:rsidP="006E2365">
            <w:pPr>
              <w:ind w:left="720"/>
            </w:pPr>
            <w:r>
              <w:t>DIV_WASTE</w:t>
            </w:r>
          </w:p>
          <w:p w:rsidR="006E2365" w:rsidRDefault="006E2365" w:rsidP="009D4916">
            <w:pPr>
              <w:pStyle w:val="ListParagraph"/>
              <w:autoSpaceDE w:val="0"/>
              <w:autoSpaceDN w:val="0"/>
              <w:adjustRightInd w:val="0"/>
              <w:ind w:left="0"/>
              <w:rPr>
                <w:b/>
                <w:szCs w:val="24"/>
              </w:rPr>
            </w:pPr>
          </w:p>
        </w:tc>
        <w:tc>
          <w:tcPr>
            <w:tcW w:w="4410" w:type="dxa"/>
            <w:shd w:val="clear" w:color="auto" w:fill="auto"/>
            <w:vAlign w:val="center"/>
          </w:tcPr>
          <w:p w:rsidR="006E2365" w:rsidRPr="00BA08F5" w:rsidRDefault="006E2365" w:rsidP="0029468A">
            <w:pPr>
              <w:pStyle w:val="ListParagraph"/>
              <w:autoSpaceDE w:val="0"/>
              <w:autoSpaceDN w:val="0"/>
              <w:adjustRightInd w:val="0"/>
              <w:ind w:left="0"/>
              <w:rPr>
                <w:szCs w:val="24"/>
              </w:rPr>
            </w:pPr>
            <w:r>
              <w:rPr>
                <w:szCs w:val="24"/>
              </w:rPr>
              <w:t>Access granted to staff of t</w:t>
            </w:r>
            <w:r w:rsidRPr="00BA08F5">
              <w:rPr>
                <w:szCs w:val="24"/>
              </w:rPr>
              <w:t>he</w:t>
            </w:r>
            <w:r>
              <w:rPr>
                <w:szCs w:val="24"/>
              </w:rPr>
              <w:t xml:space="preserve"> Division of Waste Management.</w:t>
            </w:r>
          </w:p>
        </w:tc>
      </w:tr>
      <w:tr w:rsidR="006E2365" w:rsidRPr="00C12631" w:rsidTr="006E2365">
        <w:tc>
          <w:tcPr>
            <w:tcW w:w="4680" w:type="dxa"/>
            <w:shd w:val="clear" w:color="auto" w:fill="auto"/>
            <w:vAlign w:val="center"/>
          </w:tcPr>
          <w:p w:rsidR="006E2365" w:rsidRPr="0004758C" w:rsidRDefault="0004758C" w:rsidP="0004758C">
            <w:pPr>
              <w:ind w:left="720"/>
            </w:pPr>
            <w:r>
              <w:lastRenderedPageBreak/>
              <w:t>DIV_DWRM</w:t>
            </w:r>
          </w:p>
        </w:tc>
        <w:tc>
          <w:tcPr>
            <w:tcW w:w="4410" w:type="dxa"/>
            <w:shd w:val="clear" w:color="auto" w:fill="auto"/>
            <w:vAlign w:val="center"/>
          </w:tcPr>
          <w:p w:rsidR="006E2365" w:rsidRPr="00BA08F5" w:rsidRDefault="0004758C" w:rsidP="0004758C">
            <w:pPr>
              <w:pStyle w:val="ListParagraph"/>
              <w:autoSpaceDE w:val="0"/>
              <w:autoSpaceDN w:val="0"/>
              <w:adjustRightInd w:val="0"/>
              <w:ind w:left="0"/>
              <w:rPr>
                <w:szCs w:val="24"/>
              </w:rPr>
            </w:pPr>
            <w:r>
              <w:rPr>
                <w:szCs w:val="24"/>
              </w:rPr>
              <w:t>Access granted to staff of t</w:t>
            </w:r>
            <w:r w:rsidRPr="00BA08F5">
              <w:rPr>
                <w:szCs w:val="24"/>
              </w:rPr>
              <w:t>he</w:t>
            </w:r>
            <w:r>
              <w:rPr>
                <w:szCs w:val="24"/>
              </w:rPr>
              <w:t xml:space="preserve"> </w:t>
            </w:r>
            <w:r w:rsidR="006E2365">
              <w:rPr>
                <w:szCs w:val="24"/>
              </w:rPr>
              <w:t>Division of Water Resource Management.</w:t>
            </w:r>
          </w:p>
        </w:tc>
      </w:tr>
      <w:tr w:rsidR="006E2365" w:rsidRPr="00C12631" w:rsidTr="006E2365">
        <w:tc>
          <w:tcPr>
            <w:tcW w:w="4680" w:type="dxa"/>
            <w:shd w:val="clear" w:color="auto" w:fill="auto"/>
            <w:vAlign w:val="center"/>
          </w:tcPr>
          <w:p w:rsidR="006E2365" w:rsidRPr="0004758C" w:rsidRDefault="0004758C" w:rsidP="0004758C">
            <w:pPr>
              <w:ind w:left="720"/>
            </w:pPr>
            <w:r>
              <w:t>DIV_DEAR</w:t>
            </w:r>
          </w:p>
        </w:tc>
        <w:tc>
          <w:tcPr>
            <w:tcW w:w="4410" w:type="dxa"/>
            <w:shd w:val="clear" w:color="auto" w:fill="auto"/>
            <w:vAlign w:val="center"/>
          </w:tcPr>
          <w:p w:rsidR="006E2365" w:rsidRPr="00BA08F5" w:rsidRDefault="0004758C" w:rsidP="0004758C">
            <w:pPr>
              <w:pStyle w:val="ListParagraph"/>
              <w:autoSpaceDE w:val="0"/>
              <w:autoSpaceDN w:val="0"/>
              <w:adjustRightInd w:val="0"/>
              <w:ind w:left="0"/>
              <w:rPr>
                <w:szCs w:val="24"/>
              </w:rPr>
            </w:pPr>
            <w:r>
              <w:rPr>
                <w:szCs w:val="24"/>
              </w:rPr>
              <w:t>Access granted to staff of t</w:t>
            </w:r>
            <w:r w:rsidRPr="00BA08F5">
              <w:rPr>
                <w:szCs w:val="24"/>
              </w:rPr>
              <w:t>he</w:t>
            </w:r>
            <w:r w:rsidR="006E2365">
              <w:rPr>
                <w:szCs w:val="24"/>
              </w:rPr>
              <w:t xml:space="preserve"> Division of Environmental Assessment and Restoration.</w:t>
            </w:r>
          </w:p>
        </w:tc>
      </w:tr>
      <w:tr w:rsidR="0029468A" w:rsidRPr="00C12631" w:rsidTr="006E2365">
        <w:tc>
          <w:tcPr>
            <w:tcW w:w="4680" w:type="dxa"/>
            <w:shd w:val="clear" w:color="auto" w:fill="auto"/>
            <w:vAlign w:val="center"/>
          </w:tcPr>
          <w:p w:rsidR="0029468A" w:rsidRDefault="0029468A" w:rsidP="0029468A">
            <w:pPr>
              <w:ind w:left="720"/>
              <w:rPr>
                <w:b/>
                <w:szCs w:val="24"/>
              </w:rPr>
            </w:pPr>
            <w:r>
              <w:t>DIV_GEO</w:t>
            </w:r>
          </w:p>
        </w:tc>
        <w:tc>
          <w:tcPr>
            <w:tcW w:w="4410" w:type="dxa"/>
            <w:shd w:val="clear" w:color="auto" w:fill="auto"/>
            <w:vAlign w:val="center"/>
          </w:tcPr>
          <w:p w:rsidR="0029468A" w:rsidRPr="00BA08F5" w:rsidRDefault="0029468A" w:rsidP="009D4916">
            <w:pPr>
              <w:pStyle w:val="ListParagraph"/>
              <w:autoSpaceDE w:val="0"/>
              <w:autoSpaceDN w:val="0"/>
              <w:adjustRightInd w:val="0"/>
              <w:ind w:left="0"/>
              <w:rPr>
                <w:szCs w:val="24"/>
              </w:rPr>
            </w:pPr>
            <w:r>
              <w:rPr>
                <w:szCs w:val="24"/>
              </w:rPr>
              <w:t>Open to the public, no security required.</w:t>
            </w:r>
          </w:p>
        </w:tc>
      </w:tr>
    </w:tbl>
    <w:p w:rsidR="006E2365" w:rsidRDefault="006E2365" w:rsidP="00B85C5C">
      <w:pPr>
        <w:ind w:left="720"/>
      </w:pPr>
    </w:p>
    <w:p w:rsidR="00B85C5C" w:rsidRPr="0067359E" w:rsidRDefault="00F021A8" w:rsidP="00B85C5C">
      <w:pPr>
        <w:pStyle w:val="Heading30"/>
        <w:ind w:firstLine="720"/>
        <w:rPr>
          <w:rFonts w:ascii="Calibri" w:hAnsi="Calibri"/>
          <w:color w:val="365F91"/>
        </w:rPr>
      </w:pPr>
      <w:bookmarkStart w:id="31" w:name="_Toc228163281"/>
      <w:r w:rsidRPr="00F021A8">
        <w:rPr>
          <w:rFonts w:ascii="Calibri" w:hAnsi="Calibri"/>
          <w:color w:val="365F91"/>
        </w:rPr>
        <w:t>Enterprise Services</w:t>
      </w:r>
      <w:bookmarkEnd w:id="31"/>
    </w:p>
    <w:p w:rsidR="00B85C5C" w:rsidRPr="00191390" w:rsidRDefault="00B85C5C" w:rsidP="00B85C5C">
      <w:pPr>
        <w:ind w:left="720"/>
        <w:rPr>
          <w:rFonts w:ascii="Times New Roman" w:hAnsi="Times New Roman"/>
        </w:rPr>
      </w:pPr>
      <w:r w:rsidRPr="00191390">
        <w:rPr>
          <w:rFonts w:ascii="Times New Roman" w:hAnsi="Times New Roman"/>
        </w:rPr>
        <w:t>The security groups for Enterprise Services will be “SVC_” and the short name of the functional area</w:t>
      </w:r>
    </w:p>
    <w:p w:rsidR="00B85C5C" w:rsidRDefault="00B85C5C" w:rsidP="00B85C5C">
      <w:pPr>
        <w:ind w:left="720"/>
      </w:pPr>
    </w:p>
    <w:tbl>
      <w:tblPr>
        <w:tblW w:w="909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410"/>
      </w:tblGrid>
      <w:tr w:rsidR="00355442" w:rsidRPr="00BA08F5" w:rsidTr="00355442">
        <w:tc>
          <w:tcPr>
            <w:tcW w:w="4680" w:type="dxa"/>
            <w:shd w:val="clear" w:color="auto" w:fill="auto"/>
            <w:vAlign w:val="center"/>
          </w:tcPr>
          <w:p w:rsidR="00355442" w:rsidRPr="00355442" w:rsidRDefault="00355442" w:rsidP="00355442">
            <w:pPr>
              <w:ind w:left="720"/>
            </w:pPr>
            <w:r>
              <w:t>SVC_AUTH</w:t>
            </w:r>
          </w:p>
        </w:tc>
        <w:tc>
          <w:tcPr>
            <w:tcW w:w="4410" w:type="dxa"/>
            <w:shd w:val="clear" w:color="auto" w:fill="auto"/>
            <w:vAlign w:val="center"/>
          </w:tcPr>
          <w:p w:rsidR="00355442" w:rsidRPr="00BA08F5" w:rsidRDefault="00355442" w:rsidP="009D4916">
            <w:pPr>
              <w:pStyle w:val="ListParagraph"/>
              <w:autoSpaceDE w:val="0"/>
              <w:autoSpaceDN w:val="0"/>
              <w:adjustRightInd w:val="0"/>
              <w:ind w:left="0"/>
              <w:rPr>
                <w:szCs w:val="24"/>
              </w:rPr>
            </w:pPr>
            <w:r>
              <w:rPr>
                <w:szCs w:val="24"/>
              </w:rPr>
              <w:t>Links to access permitting and registration applications.</w:t>
            </w:r>
          </w:p>
        </w:tc>
      </w:tr>
      <w:tr w:rsidR="00355442" w:rsidRPr="00BA08F5" w:rsidTr="00355442">
        <w:tc>
          <w:tcPr>
            <w:tcW w:w="4680" w:type="dxa"/>
            <w:shd w:val="clear" w:color="auto" w:fill="auto"/>
            <w:vAlign w:val="center"/>
          </w:tcPr>
          <w:p w:rsidR="00355442" w:rsidRPr="00355442" w:rsidRDefault="00355442" w:rsidP="00355442">
            <w:pPr>
              <w:ind w:left="720"/>
            </w:pPr>
            <w:r>
              <w:t>SVC_COMP</w:t>
            </w:r>
          </w:p>
        </w:tc>
        <w:tc>
          <w:tcPr>
            <w:tcW w:w="4410" w:type="dxa"/>
            <w:shd w:val="clear" w:color="auto" w:fill="auto"/>
            <w:vAlign w:val="center"/>
          </w:tcPr>
          <w:p w:rsidR="00355442" w:rsidRPr="00BA08F5" w:rsidRDefault="00355442" w:rsidP="009D4916">
            <w:pPr>
              <w:pStyle w:val="ListParagraph"/>
              <w:autoSpaceDE w:val="0"/>
              <w:autoSpaceDN w:val="0"/>
              <w:adjustRightInd w:val="0"/>
              <w:ind w:left="0"/>
              <w:rPr>
                <w:szCs w:val="24"/>
              </w:rPr>
            </w:pPr>
            <w:r>
              <w:rPr>
                <w:szCs w:val="24"/>
              </w:rPr>
              <w:t>Links to access compliance and enforcement applications.</w:t>
            </w:r>
          </w:p>
        </w:tc>
      </w:tr>
      <w:tr w:rsidR="00355442" w:rsidRPr="00BA08F5" w:rsidTr="00355442">
        <w:tc>
          <w:tcPr>
            <w:tcW w:w="4680" w:type="dxa"/>
            <w:shd w:val="clear" w:color="auto" w:fill="auto"/>
            <w:vAlign w:val="center"/>
          </w:tcPr>
          <w:p w:rsidR="00355442" w:rsidRPr="00355442" w:rsidRDefault="00355442" w:rsidP="00355442">
            <w:pPr>
              <w:ind w:left="720"/>
            </w:pPr>
            <w:r>
              <w:t>SVC_DOC</w:t>
            </w:r>
          </w:p>
        </w:tc>
        <w:tc>
          <w:tcPr>
            <w:tcW w:w="4410" w:type="dxa"/>
            <w:shd w:val="clear" w:color="auto" w:fill="auto"/>
            <w:vAlign w:val="center"/>
          </w:tcPr>
          <w:p w:rsidR="00355442" w:rsidRPr="00BA08F5" w:rsidRDefault="00355442" w:rsidP="009D4916">
            <w:pPr>
              <w:pStyle w:val="ListParagraph"/>
              <w:autoSpaceDE w:val="0"/>
              <w:autoSpaceDN w:val="0"/>
              <w:adjustRightInd w:val="0"/>
              <w:ind w:left="0"/>
              <w:rPr>
                <w:szCs w:val="24"/>
              </w:rPr>
            </w:pPr>
            <w:r>
              <w:rPr>
                <w:szCs w:val="24"/>
              </w:rPr>
              <w:t>Links to access Oculus.</w:t>
            </w:r>
          </w:p>
        </w:tc>
      </w:tr>
      <w:tr w:rsidR="00355442" w:rsidRPr="00BA08F5" w:rsidTr="00355442">
        <w:tc>
          <w:tcPr>
            <w:tcW w:w="4680" w:type="dxa"/>
            <w:shd w:val="clear" w:color="auto" w:fill="auto"/>
            <w:vAlign w:val="center"/>
          </w:tcPr>
          <w:p w:rsidR="00355442" w:rsidRPr="00355442" w:rsidRDefault="00355442" w:rsidP="00355442">
            <w:pPr>
              <w:ind w:left="720"/>
            </w:pPr>
            <w:r>
              <w:t>SVC_FIN</w:t>
            </w:r>
          </w:p>
        </w:tc>
        <w:tc>
          <w:tcPr>
            <w:tcW w:w="4410" w:type="dxa"/>
            <w:shd w:val="clear" w:color="auto" w:fill="auto"/>
            <w:vAlign w:val="center"/>
          </w:tcPr>
          <w:p w:rsidR="00355442" w:rsidRPr="00BA08F5" w:rsidRDefault="00355442" w:rsidP="009D4916">
            <w:pPr>
              <w:pStyle w:val="ListParagraph"/>
              <w:autoSpaceDE w:val="0"/>
              <w:autoSpaceDN w:val="0"/>
              <w:adjustRightInd w:val="0"/>
              <w:ind w:left="0"/>
              <w:rPr>
                <w:szCs w:val="24"/>
              </w:rPr>
            </w:pPr>
            <w:r>
              <w:rPr>
                <w:szCs w:val="24"/>
              </w:rPr>
              <w:t>Links to access financial management applications.</w:t>
            </w:r>
          </w:p>
        </w:tc>
      </w:tr>
      <w:tr w:rsidR="00355442" w:rsidRPr="00BA08F5" w:rsidTr="00355442">
        <w:tc>
          <w:tcPr>
            <w:tcW w:w="4680" w:type="dxa"/>
            <w:shd w:val="clear" w:color="auto" w:fill="auto"/>
            <w:vAlign w:val="center"/>
          </w:tcPr>
          <w:p w:rsidR="00355442" w:rsidRPr="00355442" w:rsidRDefault="00355442" w:rsidP="00355442">
            <w:pPr>
              <w:ind w:left="720"/>
            </w:pPr>
            <w:r>
              <w:t>SVC_GIS</w:t>
            </w:r>
          </w:p>
        </w:tc>
        <w:tc>
          <w:tcPr>
            <w:tcW w:w="4410" w:type="dxa"/>
            <w:shd w:val="clear" w:color="auto" w:fill="auto"/>
            <w:vAlign w:val="center"/>
          </w:tcPr>
          <w:p w:rsidR="00355442" w:rsidRPr="00BA08F5" w:rsidRDefault="00355442" w:rsidP="009D4916">
            <w:pPr>
              <w:pStyle w:val="ListParagraph"/>
              <w:autoSpaceDE w:val="0"/>
              <w:autoSpaceDN w:val="0"/>
              <w:adjustRightInd w:val="0"/>
              <w:ind w:left="0"/>
              <w:rPr>
                <w:szCs w:val="24"/>
              </w:rPr>
            </w:pPr>
            <w:r>
              <w:rPr>
                <w:szCs w:val="24"/>
              </w:rPr>
              <w:t>Links to access GIS applicat</w:t>
            </w:r>
            <w:r w:rsidR="00EF530C">
              <w:rPr>
                <w:szCs w:val="24"/>
              </w:rPr>
              <w:t>i</w:t>
            </w:r>
            <w:r>
              <w:rPr>
                <w:szCs w:val="24"/>
              </w:rPr>
              <w:t>ons and tools.</w:t>
            </w:r>
          </w:p>
        </w:tc>
      </w:tr>
      <w:tr w:rsidR="00355442" w:rsidRPr="00BA08F5" w:rsidTr="00355442">
        <w:tc>
          <w:tcPr>
            <w:tcW w:w="4680" w:type="dxa"/>
            <w:shd w:val="clear" w:color="auto" w:fill="auto"/>
            <w:vAlign w:val="center"/>
          </w:tcPr>
          <w:p w:rsidR="00355442" w:rsidRPr="00355442" w:rsidRDefault="00355442" w:rsidP="00355442">
            <w:pPr>
              <w:ind w:left="720"/>
            </w:pPr>
            <w:r>
              <w:t>SVC_NATUR</w:t>
            </w:r>
          </w:p>
        </w:tc>
        <w:tc>
          <w:tcPr>
            <w:tcW w:w="4410" w:type="dxa"/>
            <w:shd w:val="clear" w:color="auto" w:fill="auto"/>
            <w:vAlign w:val="center"/>
          </w:tcPr>
          <w:p w:rsidR="00355442" w:rsidRPr="00BA08F5" w:rsidRDefault="00355442" w:rsidP="009D4916">
            <w:pPr>
              <w:pStyle w:val="ListParagraph"/>
              <w:autoSpaceDE w:val="0"/>
              <w:autoSpaceDN w:val="0"/>
              <w:adjustRightInd w:val="0"/>
              <w:ind w:left="0"/>
              <w:rPr>
                <w:szCs w:val="24"/>
              </w:rPr>
            </w:pPr>
            <w:r>
              <w:rPr>
                <w:szCs w:val="24"/>
              </w:rPr>
              <w:t>Links to access Recs and Parks applications.</w:t>
            </w:r>
          </w:p>
        </w:tc>
      </w:tr>
    </w:tbl>
    <w:p w:rsidR="00355442" w:rsidRDefault="00355442" w:rsidP="00B85C5C">
      <w:pPr>
        <w:ind w:left="720"/>
      </w:pPr>
    </w:p>
    <w:p w:rsidR="00B85C5C" w:rsidRPr="0067359E" w:rsidRDefault="00F021A8" w:rsidP="00B85C5C">
      <w:pPr>
        <w:pStyle w:val="Heading30"/>
        <w:ind w:firstLine="720"/>
        <w:rPr>
          <w:rFonts w:ascii="Calibri" w:hAnsi="Calibri"/>
          <w:color w:val="365F91"/>
        </w:rPr>
      </w:pPr>
      <w:bookmarkStart w:id="32" w:name="_Toc228163282"/>
      <w:r w:rsidRPr="00F021A8">
        <w:rPr>
          <w:rFonts w:ascii="Calibri" w:hAnsi="Calibri"/>
          <w:color w:val="365F91"/>
        </w:rPr>
        <w:t>Enterprise Tools</w:t>
      </w:r>
      <w:bookmarkEnd w:id="32"/>
    </w:p>
    <w:p w:rsidR="00B85C5C" w:rsidRPr="00191390" w:rsidRDefault="00B85C5C" w:rsidP="00B85C5C">
      <w:pPr>
        <w:ind w:left="720"/>
        <w:rPr>
          <w:rFonts w:ascii="Times New Roman" w:hAnsi="Times New Roman"/>
        </w:rPr>
      </w:pPr>
      <w:r w:rsidRPr="00191390">
        <w:rPr>
          <w:rFonts w:ascii="Times New Roman" w:hAnsi="Times New Roman"/>
        </w:rPr>
        <w:t>The security groups for Enterprise Tools will be “ENT_” and the short name of the tool group</w:t>
      </w:r>
    </w:p>
    <w:p w:rsidR="00B85C5C" w:rsidRDefault="00B85C5C" w:rsidP="00B85C5C">
      <w:pPr>
        <w:ind w:left="720"/>
      </w:pPr>
    </w:p>
    <w:tbl>
      <w:tblPr>
        <w:tblW w:w="909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410"/>
      </w:tblGrid>
      <w:tr w:rsidR="00A443AA" w:rsidRPr="00C12631" w:rsidTr="00A443AA">
        <w:tc>
          <w:tcPr>
            <w:tcW w:w="4680" w:type="dxa"/>
            <w:shd w:val="clear" w:color="auto" w:fill="auto"/>
            <w:vAlign w:val="center"/>
          </w:tcPr>
          <w:p w:rsidR="00A443AA" w:rsidRPr="00A443AA" w:rsidRDefault="00A443AA" w:rsidP="00A443AA">
            <w:pPr>
              <w:ind w:left="720"/>
            </w:pPr>
            <w:r>
              <w:t>ENT_BPEL</w:t>
            </w:r>
          </w:p>
        </w:tc>
        <w:tc>
          <w:tcPr>
            <w:tcW w:w="4410" w:type="dxa"/>
            <w:shd w:val="clear" w:color="auto" w:fill="auto"/>
            <w:vAlign w:val="center"/>
          </w:tcPr>
          <w:p w:rsidR="00A443AA" w:rsidRPr="00BA08F5" w:rsidRDefault="00A443AA" w:rsidP="009D4916">
            <w:pPr>
              <w:pStyle w:val="ListParagraph"/>
              <w:autoSpaceDE w:val="0"/>
              <w:autoSpaceDN w:val="0"/>
              <w:adjustRightInd w:val="0"/>
              <w:ind w:left="0"/>
              <w:rPr>
                <w:szCs w:val="24"/>
              </w:rPr>
            </w:pPr>
            <w:r>
              <w:rPr>
                <w:szCs w:val="24"/>
              </w:rPr>
              <w:t>Links to the Oracle SOA management consoles.</w:t>
            </w:r>
          </w:p>
        </w:tc>
      </w:tr>
      <w:tr w:rsidR="00A443AA" w:rsidRPr="00C12631" w:rsidTr="00A443AA">
        <w:tc>
          <w:tcPr>
            <w:tcW w:w="4680" w:type="dxa"/>
            <w:shd w:val="clear" w:color="auto" w:fill="auto"/>
            <w:vAlign w:val="center"/>
          </w:tcPr>
          <w:p w:rsidR="00A443AA" w:rsidRPr="00A443AA" w:rsidRDefault="00A443AA" w:rsidP="00A443AA">
            <w:pPr>
              <w:ind w:left="720"/>
            </w:pPr>
            <w:r>
              <w:t>ENT_COMP</w:t>
            </w:r>
          </w:p>
        </w:tc>
        <w:tc>
          <w:tcPr>
            <w:tcW w:w="4410" w:type="dxa"/>
            <w:shd w:val="clear" w:color="auto" w:fill="auto"/>
            <w:vAlign w:val="center"/>
          </w:tcPr>
          <w:p w:rsidR="00A443AA" w:rsidRPr="00BA08F5" w:rsidRDefault="00A443AA" w:rsidP="009D4916">
            <w:pPr>
              <w:pStyle w:val="ListParagraph"/>
              <w:autoSpaceDE w:val="0"/>
              <w:autoSpaceDN w:val="0"/>
              <w:adjustRightInd w:val="0"/>
              <w:ind w:left="0"/>
              <w:rPr>
                <w:szCs w:val="24"/>
              </w:rPr>
            </w:pPr>
            <w:r>
              <w:rPr>
                <w:szCs w:val="24"/>
              </w:rPr>
              <w:t>Links to DEP components????</w:t>
            </w:r>
          </w:p>
        </w:tc>
      </w:tr>
      <w:tr w:rsidR="00A443AA" w:rsidRPr="00C12631" w:rsidTr="00A443AA">
        <w:tc>
          <w:tcPr>
            <w:tcW w:w="4680" w:type="dxa"/>
            <w:shd w:val="clear" w:color="auto" w:fill="auto"/>
            <w:vAlign w:val="center"/>
          </w:tcPr>
          <w:p w:rsidR="00A443AA" w:rsidRPr="00A443AA" w:rsidRDefault="00A443AA" w:rsidP="00A443AA">
            <w:pPr>
              <w:ind w:left="720"/>
            </w:pPr>
            <w:r>
              <w:t>ENT_SEC</w:t>
            </w:r>
          </w:p>
        </w:tc>
        <w:tc>
          <w:tcPr>
            <w:tcW w:w="4410" w:type="dxa"/>
            <w:shd w:val="clear" w:color="auto" w:fill="auto"/>
            <w:vAlign w:val="center"/>
          </w:tcPr>
          <w:p w:rsidR="00A443AA" w:rsidRPr="00BA08F5" w:rsidRDefault="00A443AA" w:rsidP="009D4916">
            <w:pPr>
              <w:pStyle w:val="ListParagraph"/>
              <w:autoSpaceDE w:val="0"/>
              <w:autoSpaceDN w:val="0"/>
              <w:adjustRightInd w:val="0"/>
              <w:ind w:left="0"/>
              <w:rPr>
                <w:szCs w:val="24"/>
              </w:rPr>
            </w:pPr>
            <w:r>
              <w:rPr>
                <w:szCs w:val="24"/>
              </w:rPr>
              <w:t>Links to DEP application security consoles.</w:t>
            </w:r>
          </w:p>
        </w:tc>
      </w:tr>
      <w:tr w:rsidR="00A443AA" w:rsidRPr="00C12631" w:rsidTr="00A443AA">
        <w:tc>
          <w:tcPr>
            <w:tcW w:w="4680" w:type="dxa"/>
            <w:shd w:val="clear" w:color="auto" w:fill="auto"/>
            <w:vAlign w:val="center"/>
          </w:tcPr>
          <w:p w:rsidR="00A443AA" w:rsidRPr="00A443AA" w:rsidRDefault="00A443AA" w:rsidP="00A443AA">
            <w:pPr>
              <w:ind w:left="720"/>
            </w:pPr>
            <w:r>
              <w:t>ENT_INFO</w:t>
            </w:r>
          </w:p>
        </w:tc>
        <w:tc>
          <w:tcPr>
            <w:tcW w:w="4410" w:type="dxa"/>
            <w:shd w:val="clear" w:color="auto" w:fill="auto"/>
            <w:vAlign w:val="center"/>
          </w:tcPr>
          <w:p w:rsidR="00A443AA" w:rsidRPr="00BA08F5" w:rsidRDefault="00A443AA" w:rsidP="009D4916">
            <w:pPr>
              <w:pStyle w:val="ListParagraph"/>
              <w:autoSpaceDE w:val="0"/>
              <w:autoSpaceDN w:val="0"/>
              <w:adjustRightInd w:val="0"/>
              <w:ind w:left="0"/>
              <w:rPr>
                <w:szCs w:val="24"/>
              </w:rPr>
            </w:pPr>
            <w:r>
              <w:rPr>
                <w:szCs w:val="24"/>
              </w:rPr>
              <w:t>Links to DEP information consoles.</w:t>
            </w:r>
          </w:p>
        </w:tc>
      </w:tr>
    </w:tbl>
    <w:p w:rsidR="00A443AA" w:rsidRDefault="00A443AA" w:rsidP="00B85C5C">
      <w:pPr>
        <w:ind w:left="720"/>
      </w:pPr>
    </w:p>
    <w:p w:rsidR="00B85C5C" w:rsidRPr="00455268" w:rsidRDefault="00B85C5C" w:rsidP="00B85C5C">
      <w:pPr>
        <w:pStyle w:val="Heading1"/>
        <w:pBdr>
          <w:top w:val="single" w:sz="24" w:space="1" w:color="800000"/>
        </w:pBdr>
        <w:tabs>
          <w:tab w:val="left" w:pos="990"/>
        </w:tabs>
        <w:spacing w:after="240"/>
        <w:rPr>
          <w:rFonts w:ascii="Verdana" w:hAnsi="Verdana"/>
          <w:color w:val="800000"/>
          <w:kern w:val="28"/>
        </w:rPr>
      </w:pPr>
      <w:bookmarkStart w:id="33" w:name="_Toc228163283"/>
      <w:r w:rsidRPr="00455268">
        <w:rPr>
          <w:rFonts w:ascii="Verdana" w:hAnsi="Verdana"/>
          <w:color w:val="800000"/>
          <w:kern w:val="28"/>
        </w:rPr>
        <w:t>Application Level Security</w:t>
      </w:r>
      <w:bookmarkEnd w:id="33"/>
    </w:p>
    <w:p w:rsidR="00B85C5C" w:rsidRPr="00455268" w:rsidRDefault="00F021A8" w:rsidP="004C2628">
      <w:pPr>
        <w:pStyle w:val="Heading1"/>
        <w:spacing w:before="360"/>
        <w:rPr>
          <w:rFonts w:cs="Arial"/>
          <w:bCs w:val="0"/>
          <w:i/>
          <w:iCs/>
        </w:rPr>
      </w:pPr>
      <w:bookmarkStart w:id="34" w:name="_Toc228163284"/>
      <w:r w:rsidRPr="00F021A8">
        <w:t>Authentication</w:t>
      </w:r>
      <w:bookmarkEnd w:id="34"/>
    </w:p>
    <w:p w:rsidR="00B85C5C" w:rsidRDefault="00B85C5C" w:rsidP="00B85C5C">
      <w:pPr>
        <w:pStyle w:val="BodyText"/>
        <w:ind w:left="0"/>
      </w:pPr>
      <w:r>
        <w:t>All applications must utilize the Authenticate Filter as supplied by OTIS to secure their applications from direct URL addressing (such as users bookmarking a page).  The filter will force a user who attempts direct access to supply their SSO credentials.</w:t>
      </w:r>
    </w:p>
    <w:p w:rsidR="00B85C5C" w:rsidRPr="00191390" w:rsidRDefault="00B85C5C" w:rsidP="00B85C5C">
      <w:pPr>
        <w:pStyle w:val="BodyText"/>
        <w:ind w:left="0"/>
      </w:pPr>
      <w:r w:rsidRPr="00191390">
        <w:lastRenderedPageBreak/>
        <w:t xml:space="preserve">Additionally, the filter will automatically populate a User Information </w:t>
      </w:r>
      <w:r w:rsidR="00EF530C" w:rsidRPr="00191390">
        <w:t>Object, which</w:t>
      </w:r>
      <w:r w:rsidRPr="00191390">
        <w:t xml:space="preserve"> will be placed into the application’s session scope and is to be used to obtain the following information on the current user:</w:t>
      </w:r>
    </w:p>
    <w:p w:rsidR="00B85C5C" w:rsidRPr="00191390" w:rsidRDefault="00B85C5C" w:rsidP="00B85C5C">
      <w:pPr>
        <w:pStyle w:val="BodyText"/>
        <w:ind w:left="0"/>
      </w:pPr>
      <w:r w:rsidRPr="00191390">
        <w:tab/>
        <w:t>First Name, Last Name, Full Name, e-Mail, Secondary User ID</w:t>
      </w:r>
    </w:p>
    <w:p w:rsidR="00B85C5C" w:rsidRPr="00191390" w:rsidRDefault="00B85C5C" w:rsidP="00B85C5C">
      <w:pPr>
        <w:pStyle w:val="BodyText"/>
        <w:spacing w:after="240"/>
        <w:ind w:left="0"/>
      </w:pPr>
      <w:r w:rsidRPr="00191390">
        <w:t xml:space="preserve">The usage of this object and the details of its fields are found in the </w:t>
      </w:r>
      <w:r w:rsidRPr="00191390">
        <w:rPr>
          <w:b/>
          <w:i/>
        </w:rPr>
        <w:t>JEE Security Framework S</w:t>
      </w:r>
      <w:r w:rsidR="00AA7AB4" w:rsidRPr="00191390">
        <w:rPr>
          <w:b/>
          <w:i/>
        </w:rPr>
        <w:t xml:space="preserve">tandard </w:t>
      </w:r>
      <w:r w:rsidR="00A471D6" w:rsidRPr="00191390">
        <w:rPr>
          <w:noProof/>
        </w:rPr>
        <w:t>(FL Dept. of Environmental Protection, 20</w:t>
      </w:r>
      <w:r w:rsidR="006E2365">
        <w:rPr>
          <w:noProof/>
        </w:rPr>
        <w:t>10</w:t>
      </w:r>
      <w:r w:rsidR="00A471D6" w:rsidRPr="00191390">
        <w:rPr>
          <w:noProof/>
        </w:rPr>
        <w:t>)</w:t>
      </w:r>
      <w:r w:rsidRPr="00191390">
        <w:t>.</w:t>
      </w:r>
    </w:p>
    <w:p w:rsidR="00B85C5C" w:rsidRPr="00191390" w:rsidRDefault="00F021A8" w:rsidP="004C2628">
      <w:pPr>
        <w:pStyle w:val="Heading1"/>
        <w:spacing w:before="360"/>
        <w:rPr>
          <w:rFonts w:cs="Arial"/>
          <w:bCs w:val="0"/>
          <w:i/>
          <w:iCs/>
        </w:rPr>
      </w:pPr>
      <w:bookmarkStart w:id="35" w:name="_Toc228163285"/>
      <w:r w:rsidRPr="00F021A8">
        <w:t>Authorization</w:t>
      </w:r>
      <w:bookmarkEnd w:id="35"/>
    </w:p>
    <w:p w:rsidR="00B85C5C" w:rsidRPr="00191390" w:rsidRDefault="00B85C5C" w:rsidP="00B85C5C">
      <w:pPr>
        <w:rPr>
          <w:rFonts w:ascii="Times New Roman" w:hAnsi="Times New Roman"/>
        </w:rPr>
      </w:pPr>
      <w:r w:rsidRPr="00191390">
        <w:rPr>
          <w:rFonts w:ascii="Times New Roman" w:hAnsi="Times New Roman"/>
        </w:rPr>
        <w:t xml:space="preserve">Applications needing role based security must establish an Application Group as well as Application Role Security Groups.  The Application Group and Application Role Security Groups will be established in Oracle Identity Manager (OIM).  </w:t>
      </w:r>
    </w:p>
    <w:p w:rsidR="00B85C5C" w:rsidRPr="00191390" w:rsidRDefault="00F021A8" w:rsidP="00B85C5C">
      <w:pPr>
        <w:pStyle w:val="Heading30"/>
        <w:ind w:firstLine="720"/>
        <w:rPr>
          <w:rFonts w:ascii="Calibri" w:hAnsi="Calibri"/>
          <w:color w:val="365F91"/>
        </w:rPr>
      </w:pPr>
      <w:bookmarkStart w:id="36" w:name="_Toc228163286"/>
      <w:r w:rsidRPr="00F021A8">
        <w:rPr>
          <w:rFonts w:ascii="Calibri" w:hAnsi="Calibri"/>
          <w:color w:val="365F91"/>
        </w:rPr>
        <w:t>Application Group Container</w:t>
      </w:r>
      <w:bookmarkEnd w:id="36"/>
    </w:p>
    <w:p w:rsidR="00B85C5C" w:rsidRPr="00191390" w:rsidRDefault="00B85C5C" w:rsidP="00B85C5C">
      <w:pPr>
        <w:ind w:left="720"/>
        <w:rPr>
          <w:rFonts w:ascii="Times New Roman" w:hAnsi="Times New Roman"/>
        </w:rPr>
      </w:pPr>
      <w:r w:rsidRPr="00191390">
        <w:rPr>
          <w:rFonts w:ascii="Times New Roman" w:hAnsi="Times New Roman"/>
        </w:rPr>
        <w:t>Applications needing role</w:t>
      </w:r>
      <w:r w:rsidR="00191390" w:rsidRPr="00191390">
        <w:rPr>
          <w:rFonts w:ascii="Times New Roman" w:hAnsi="Times New Roman"/>
        </w:rPr>
        <w:t>-</w:t>
      </w:r>
      <w:r w:rsidRPr="00191390">
        <w:rPr>
          <w:rFonts w:ascii="Times New Roman" w:hAnsi="Times New Roman"/>
        </w:rPr>
        <w:t xml:space="preserve">based security must establish an Application Group named according to the Application context root.  See the </w:t>
      </w:r>
      <w:r w:rsidRPr="00191390">
        <w:rPr>
          <w:rFonts w:ascii="Times New Roman" w:hAnsi="Times New Roman"/>
          <w:b/>
          <w:i/>
        </w:rPr>
        <w:t>Java Application Naming Standard</w:t>
      </w:r>
      <w:r w:rsidR="00191390" w:rsidRPr="00191390">
        <w:rPr>
          <w:rFonts w:ascii="Times New Roman" w:hAnsi="Times New Roman"/>
          <w:noProof/>
        </w:rPr>
        <w:t xml:space="preserve"> (FL Dept. of Environmental Protection, 20</w:t>
      </w:r>
      <w:r w:rsidR="006E2365">
        <w:rPr>
          <w:rFonts w:ascii="Times New Roman" w:hAnsi="Times New Roman"/>
          <w:noProof/>
        </w:rPr>
        <w:t>10</w:t>
      </w:r>
      <w:r w:rsidR="00191390" w:rsidRPr="00191390">
        <w:rPr>
          <w:rFonts w:ascii="Times New Roman" w:hAnsi="Times New Roman"/>
          <w:noProof/>
        </w:rPr>
        <w:t>)</w:t>
      </w:r>
      <w:r w:rsidR="00191390">
        <w:rPr>
          <w:rFonts w:ascii="Times New Roman" w:hAnsi="Times New Roman"/>
          <w:noProof/>
        </w:rPr>
        <w:t xml:space="preserve"> </w:t>
      </w:r>
      <w:r w:rsidRPr="00191390">
        <w:rPr>
          <w:rFonts w:ascii="Times New Roman" w:hAnsi="Times New Roman"/>
        </w:rPr>
        <w:t>for guidance on naming the Application context root.</w:t>
      </w:r>
    </w:p>
    <w:p w:rsidR="00B85C5C" w:rsidRPr="00191390" w:rsidRDefault="00F021A8" w:rsidP="00B85C5C">
      <w:pPr>
        <w:pStyle w:val="Heading30"/>
        <w:ind w:firstLine="720"/>
        <w:rPr>
          <w:rFonts w:ascii="Calibri" w:hAnsi="Calibri"/>
          <w:color w:val="365F91"/>
        </w:rPr>
      </w:pPr>
      <w:bookmarkStart w:id="37" w:name="_Toc228163287"/>
      <w:r w:rsidRPr="00F021A8">
        <w:rPr>
          <w:rFonts w:ascii="Calibri" w:hAnsi="Calibri"/>
          <w:color w:val="365F91"/>
        </w:rPr>
        <w:t>Role Security Groups</w:t>
      </w:r>
      <w:bookmarkEnd w:id="37"/>
    </w:p>
    <w:p w:rsidR="00B85C5C" w:rsidRPr="00191390" w:rsidRDefault="00B85C5C" w:rsidP="00B85C5C">
      <w:pPr>
        <w:ind w:left="720"/>
        <w:rPr>
          <w:rFonts w:ascii="Times New Roman" w:hAnsi="Times New Roman"/>
        </w:rPr>
      </w:pPr>
      <w:r w:rsidRPr="00191390">
        <w:rPr>
          <w:rFonts w:ascii="Times New Roman" w:hAnsi="Times New Roman"/>
        </w:rPr>
        <w:t>Role Security Group names must be descriptive values consisting of one to three words.  The Application Group name should not be included in the group name since the groups fall under the Application Group in the OIM hierarchy.</w:t>
      </w:r>
    </w:p>
    <w:p w:rsidR="00B85C5C" w:rsidRPr="00191390" w:rsidRDefault="00F021A8" w:rsidP="00B85C5C">
      <w:pPr>
        <w:pStyle w:val="Heading30"/>
        <w:ind w:firstLine="720"/>
        <w:rPr>
          <w:rFonts w:ascii="Calibri" w:hAnsi="Calibri"/>
          <w:color w:val="365F91"/>
        </w:rPr>
      </w:pPr>
      <w:bookmarkStart w:id="38" w:name="_Toc228163288"/>
      <w:r w:rsidRPr="00F021A8">
        <w:rPr>
          <w:rFonts w:ascii="Calibri" w:hAnsi="Calibri"/>
          <w:color w:val="365F91"/>
        </w:rPr>
        <w:t>Application Access to Role Security Groups</w:t>
      </w:r>
      <w:bookmarkEnd w:id="38"/>
    </w:p>
    <w:p w:rsidR="00B85C5C" w:rsidRPr="00191390" w:rsidRDefault="00B85C5C" w:rsidP="00B85C5C">
      <w:pPr>
        <w:ind w:left="720"/>
        <w:rPr>
          <w:rFonts w:ascii="Times New Roman" w:hAnsi="Times New Roman"/>
        </w:rPr>
      </w:pPr>
      <w:r w:rsidRPr="00191390">
        <w:rPr>
          <w:rFonts w:ascii="Times New Roman" w:hAnsi="Times New Roman"/>
        </w:rPr>
        <w:t xml:space="preserve">Applications must retrieve Role Security Groups using standard JAZN system calls. </w:t>
      </w:r>
    </w:p>
    <w:p w:rsidR="00B85C5C" w:rsidRDefault="00B85C5C" w:rsidP="00B85C5C"/>
    <w:p w:rsidR="00D22B3C" w:rsidRDefault="00D22B3C">
      <w:pPr>
        <w:pStyle w:val="Heading1"/>
      </w:pPr>
      <w:r>
        <w:t>Bibliography</w:t>
      </w:r>
    </w:p>
    <w:p w:rsidR="00D22B3C" w:rsidRDefault="00D22B3C" w:rsidP="00D22B3C">
      <w:pPr>
        <w:pStyle w:val="Bibliography"/>
        <w:rPr>
          <w:noProof/>
        </w:rPr>
      </w:pPr>
      <w:r>
        <w:rPr>
          <w:noProof/>
        </w:rPr>
        <w:t>FL Dept. of Environmental Protection. (20</w:t>
      </w:r>
      <w:r w:rsidR="006E2365">
        <w:rPr>
          <w:noProof/>
        </w:rPr>
        <w:t>10</w:t>
      </w:r>
      <w:r>
        <w:rPr>
          <w:noProof/>
        </w:rPr>
        <w:t xml:space="preserve">). </w:t>
      </w:r>
      <w:r>
        <w:rPr>
          <w:i/>
          <w:iCs/>
          <w:noProof/>
        </w:rPr>
        <w:t>DEP JEE Security Framework Standard.</w:t>
      </w:r>
      <w:r>
        <w:rPr>
          <w:noProof/>
        </w:rPr>
        <w:t xml:space="preserve"> Tallahassee: FL DEP.</w:t>
      </w:r>
    </w:p>
    <w:p w:rsidR="00D22B3C" w:rsidRDefault="00D22B3C" w:rsidP="00D22B3C">
      <w:pPr>
        <w:pStyle w:val="Bibliography"/>
        <w:rPr>
          <w:noProof/>
        </w:rPr>
      </w:pPr>
      <w:r>
        <w:rPr>
          <w:noProof/>
        </w:rPr>
        <w:t>FL Dept. of Environmental Protection. (20</w:t>
      </w:r>
      <w:r w:rsidR="006E2365">
        <w:rPr>
          <w:noProof/>
        </w:rPr>
        <w:t>10</w:t>
      </w:r>
      <w:r>
        <w:rPr>
          <w:noProof/>
        </w:rPr>
        <w:t xml:space="preserve">). </w:t>
      </w:r>
      <w:r>
        <w:rPr>
          <w:i/>
          <w:iCs/>
          <w:noProof/>
        </w:rPr>
        <w:t>Java Application Naming Standard.</w:t>
      </w:r>
      <w:r>
        <w:rPr>
          <w:noProof/>
        </w:rPr>
        <w:t xml:space="preserve"> Tallahassee: FL DEP .</w:t>
      </w:r>
    </w:p>
    <w:p w:rsidR="00D22B3C" w:rsidRDefault="00D22B3C" w:rsidP="00D22B3C"/>
    <w:p w:rsidR="00381397" w:rsidRDefault="00381397" w:rsidP="00381397"/>
    <w:p w:rsidR="001A07BF" w:rsidRDefault="00381397" w:rsidP="001A07BF">
      <w:pPr>
        <w:rPr>
          <w:b/>
        </w:rPr>
      </w:pPr>
      <w:r w:rsidRPr="00C54C43">
        <w:rPr>
          <w:b/>
        </w:rPr>
        <w:t>Approved by R. John Willmott, CIO</w:t>
      </w:r>
      <w:r w:rsidR="001A07BF">
        <w:rPr>
          <w:b/>
        </w:rPr>
        <w:tab/>
      </w:r>
      <w:r w:rsidR="001A07BF">
        <w:rPr>
          <w:b/>
        </w:rPr>
        <w:tab/>
      </w:r>
      <w:r w:rsidR="001A07BF">
        <w:rPr>
          <w:b/>
        </w:rPr>
        <w:tab/>
      </w:r>
      <w:r w:rsidR="00714C81" w:rsidRPr="006C50BF">
        <w:rPr>
          <w:rFonts w:asciiTheme="minorHAnsi" w:hAnsiTheme="minorHAnsi"/>
          <w:b/>
        </w:rPr>
        <w:t>________</w:t>
      </w:r>
      <w:r w:rsidR="00714C81" w:rsidRPr="00E14F57">
        <w:rPr>
          <w:rFonts w:asciiTheme="minorHAnsi" w:hAnsiTheme="minorHAnsi"/>
          <w:b/>
          <w:u w:val="single"/>
        </w:rPr>
        <w:t>_</w:t>
      </w:r>
      <w:r w:rsidR="00714C81" w:rsidRPr="006C50BF">
        <w:rPr>
          <w:rFonts w:asciiTheme="minorHAnsi" w:hAnsiTheme="minorHAnsi"/>
          <w:b/>
        </w:rPr>
        <w:t>__________</w:t>
      </w:r>
    </w:p>
    <w:p w:rsidR="00714C81" w:rsidRPr="006C50BF" w:rsidRDefault="00714C81" w:rsidP="001A07BF">
      <w:pPr>
        <w:ind w:left="5760"/>
      </w:pPr>
      <w:bookmarkStart w:id="39" w:name="_GoBack"/>
      <w:bookmarkEnd w:id="39"/>
      <w:r w:rsidRPr="00C54C43">
        <w:rPr>
          <w:b/>
        </w:rPr>
        <w:t>Approval Date</w:t>
      </w:r>
    </w:p>
    <w:p w:rsidR="00D22B3C" w:rsidRDefault="00D22B3C" w:rsidP="00714C81"/>
    <w:sectPr w:rsidR="00D22B3C" w:rsidSect="00FB4B5D">
      <w:headerReference w:type="default" r:id="rId16"/>
      <w:footerReference w:type="default" r:id="rId17"/>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5A" w:rsidRDefault="001E0D5A" w:rsidP="000E3B85">
      <w:r>
        <w:separator/>
      </w:r>
    </w:p>
  </w:endnote>
  <w:endnote w:type="continuationSeparator" w:id="0">
    <w:p w:rsidR="001E0D5A" w:rsidRDefault="001E0D5A" w:rsidP="000E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6" w:rsidRPr="00083D62" w:rsidRDefault="00A471D6" w:rsidP="004C2628">
    <w:pPr>
      <w:pStyle w:val="Footer"/>
      <w:jc w:val="right"/>
    </w:pPr>
    <w:r w:rsidRPr="00083D62">
      <w:t xml:space="preserve">Appendix:  Portal </w:t>
    </w:r>
    <w:r w:rsidR="00EF530C" w:rsidRPr="00083D62">
      <w:t>Specifications</w:t>
    </w:r>
    <w:r w:rsidRPr="00083D62">
      <w:t xml:space="preserve"> </w:t>
    </w:r>
  </w:p>
  <w:p w:rsidR="00A471D6" w:rsidRPr="00083D62" w:rsidRDefault="00A471D6" w:rsidP="004C2628">
    <w:pPr>
      <w:pStyle w:val="Footer"/>
      <w:jc w:val="right"/>
    </w:pPr>
    <w:r w:rsidRPr="00083D62">
      <w:t xml:space="preserve">Page </w:t>
    </w:r>
    <w:r w:rsidR="00CD7D56" w:rsidRPr="00083D62">
      <w:rPr>
        <w:szCs w:val="24"/>
      </w:rPr>
      <w:fldChar w:fldCharType="begin"/>
    </w:r>
    <w:r w:rsidRPr="00083D62">
      <w:instrText xml:space="preserve"> PAGE </w:instrText>
    </w:r>
    <w:r w:rsidR="00CD7D56" w:rsidRPr="00083D62">
      <w:rPr>
        <w:szCs w:val="24"/>
      </w:rPr>
      <w:fldChar w:fldCharType="separate"/>
    </w:r>
    <w:r w:rsidR="001A07BF">
      <w:rPr>
        <w:noProof/>
      </w:rPr>
      <w:t>3</w:t>
    </w:r>
    <w:r w:rsidR="00CD7D56" w:rsidRPr="00083D62">
      <w:rPr>
        <w:szCs w:val="24"/>
      </w:rPr>
      <w:fldChar w:fldCharType="end"/>
    </w:r>
    <w:r w:rsidRPr="00083D62">
      <w:t xml:space="preserve"> of </w:t>
    </w:r>
    <w:r w:rsidR="00CD7D56" w:rsidRPr="00083D62">
      <w:rPr>
        <w:szCs w:val="24"/>
      </w:rPr>
      <w:fldChar w:fldCharType="begin"/>
    </w:r>
    <w:r w:rsidRPr="00083D62">
      <w:instrText xml:space="preserve"> NUMPAGES  </w:instrText>
    </w:r>
    <w:r w:rsidR="00CD7D56" w:rsidRPr="00083D62">
      <w:rPr>
        <w:szCs w:val="24"/>
      </w:rPr>
      <w:fldChar w:fldCharType="separate"/>
    </w:r>
    <w:r w:rsidR="001A07BF">
      <w:rPr>
        <w:noProof/>
      </w:rPr>
      <w:t>8</w:t>
    </w:r>
    <w:r w:rsidR="00CD7D56" w:rsidRPr="00083D62">
      <w:rPr>
        <w:szCs w:val="24"/>
      </w:rPr>
      <w:fldChar w:fldCharType="end"/>
    </w:r>
  </w:p>
  <w:p w:rsidR="00A471D6" w:rsidRDefault="00A47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6" w:rsidRDefault="00A471D6">
    <w:pPr>
      <w:pStyle w:val="Footer"/>
      <w:jc w:val="right"/>
    </w:pPr>
    <w:r>
      <w:t>Appendix</w:t>
    </w:r>
  </w:p>
  <w:p w:rsidR="00A471D6" w:rsidRPr="00465E08" w:rsidRDefault="00A471D6">
    <w:pPr>
      <w:pStyle w:val="Footer"/>
      <w:jc w:val="right"/>
    </w:pPr>
    <w:r>
      <w:t>Portal Specifications</w:t>
    </w:r>
  </w:p>
  <w:p w:rsidR="00A471D6" w:rsidRPr="00465E08" w:rsidRDefault="00A471D6">
    <w:pPr>
      <w:pStyle w:val="Footer"/>
      <w:jc w:val="right"/>
    </w:pPr>
    <w:r w:rsidRPr="00465E08">
      <w:t xml:space="preserve">Page </w:t>
    </w:r>
    <w:r w:rsidR="00CD7D56">
      <w:fldChar w:fldCharType="begin"/>
    </w:r>
    <w:r w:rsidR="001F3813">
      <w:instrText xml:space="preserve"> PAGE </w:instrText>
    </w:r>
    <w:r w:rsidR="00CD7D56">
      <w:fldChar w:fldCharType="separate"/>
    </w:r>
    <w:r w:rsidR="001A07BF">
      <w:rPr>
        <w:noProof/>
      </w:rPr>
      <w:t>6</w:t>
    </w:r>
    <w:r w:rsidR="00CD7D56">
      <w:fldChar w:fldCharType="end"/>
    </w:r>
    <w:r w:rsidRPr="00465E08">
      <w:t xml:space="preserve"> of </w:t>
    </w:r>
    <w:r w:rsidR="00CD7D56">
      <w:fldChar w:fldCharType="begin"/>
    </w:r>
    <w:r w:rsidR="001F3813">
      <w:instrText xml:space="preserve"> NUMPAGES  </w:instrText>
    </w:r>
    <w:r w:rsidR="00CD7D56">
      <w:fldChar w:fldCharType="separate"/>
    </w:r>
    <w:r w:rsidR="001A07BF">
      <w:rPr>
        <w:noProof/>
      </w:rPr>
      <w:t>8</w:t>
    </w:r>
    <w:r w:rsidR="00CD7D56">
      <w:fldChar w:fldCharType="end"/>
    </w:r>
  </w:p>
  <w:p w:rsidR="00A471D6" w:rsidRDefault="00A4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5A" w:rsidRDefault="001E0D5A" w:rsidP="000E3B85">
      <w:r>
        <w:separator/>
      </w:r>
    </w:p>
  </w:footnote>
  <w:footnote w:type="continuationSeparator" w:id="0">
    <w:p w:rsidR="001E0D5A" w:rsidRDefault="001E0D5A" w:rsidP="000E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D6" w:rsidRDefault="00A4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2866"/>
    <w:multiLevelType w:val="hybridMultilevel"/>
    <w:tmpl w:val="6BDC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34A1"/>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F6F15E0"/>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FD4622"/>
    <w:multiLevelType w:val="hybridMultilevel"/>
    <w:tmpl w:val="CC4ABFCA"/>
    <w:lvl w:ilvl="0" w:tplc="AC9A35AE">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 w15:restartNumberingAfterBreak="0">
    <w:nsid w:val="35844CE8"/>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05849D3"/>
    <w:multiLevelType w:val="hybridMultilevel"/>
    <w:tmpl w:val="C05A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54538"/>
    <w:multiLevelType w:val="hybridMultilevel"/>
    <w:tmpl w:val="6C5C9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A2"/>
    <w:rsid w:val="0001009A"/>
    <w:rsid w:val="00017FC3"/>
    <w:rsid w:val="0004758C"/>
    <w:rsid w:val="00083D62"/>
    <w:rsid w:val="00084F7D"/>
    <w:rsid w:val="000B10E2"/>
    <w:rsid w:val="000C5D81"/>
    <w:rsid w:val="000E3B85"/>
    <w:rsid w:val="000F3ECF"/>
    <w:rsid w:val="00101004"/>
    <w:rsid w:val="00103E70"/>
    <w:rsid w:val="001711C7"/>
    <w:rsid w:val="00191390"/>
    <w:rsid w:val="001A07BF"/>
    <w:rsid w:val="001B0F39"/>
    <w:rsid w:val="001B1283"/>
    <w:rsid w:val="001B6A08"/>
    <w:rsid w:val="001C58AF"/>
    <w:rsid w:val="001D79B8"/>
    <w:rsid w:val="001E0D5A"/>
    <w:rsid w:val="001F3813"/>
    <w:rsid w:val="00230174"/>
    <w:rsid w:val="00242B25"/>
    <w:rsid w:val="00242EAB"/>
    <w:rsid w:val="00244790"/>
    <w:rsid w:val="002838A7"/>
    <w:rsid w:val="002903E8"/>
    <w:rsid w:val="0029468A"/>
    <w:rsid w:val="002A36CE"/>
    <w:rsid w:val="002C0EF2"/>
    <w:rsid w:val="002D0228"/>
    <w:rsid w:val="00315429"/>
    <w:rsid w:val="0032060A"/>
    <w:rsid w:val="00323492"/>
    <w:rsid w:val="00343B44"/>
    <w:rsid w:val="00355442"/>
    <w:rsid w:val="00366836"/>
    <w:rsid w:val="00381397"/>
    <w:rsid w:val="003917CE"/>
    <w:rsid w:val="003C1D98"/>
    <w:rsid w:val="003E3C40"/>
    <w:rsid w:val="00415726"/>
    <w:rsid w:val="00416FA3"/>
    <w:rsid w:val="00434642"/>
    <w:rsid w:val="00465E08"/>
    <w:rsid w:val="00470241"/>
    <w:rsid w:val="00497565"/>
    <w:rsid w:val="004C2628"/>
    <w:rsid w:val="004E3829"/>
    <w:rsid w:val="004E543C"/>
    <w:rsid w:val="00530025"/>
    <w:rsid w:val="00550953"/>
    <w:rsid w:val="00597DE5"/>
    <w:rsid w:val="005B1801"/>
    <w:rsid w:val="005B4070"/>
    <w:rsid w:val="006114F2"/>
    <w:rsid w:val="00664E12"/>
    <w:rsid w:val="0067359E"/>
    <w:rsid w:val="006A045B"/>
    <w:rsid w:val="006C74AE"/>
    <w:rsid w:val="006E2365"/>
    <w:rsid w:val="006E764E"/>
    <w:rsid w:val="007006E9"/>
    <w:rsid w:val="00714C81"/>
    <w:rsid w:val="007250F0"/>
    <w:rsid w:val="00727ECF"/>
    <w:rsid w:val="00744261"/>
    <w:rsid w:val="00761C18"/>
    <w:rsid w:val="00761CC0"/>
    <w:rsid w:val="007752F1"/>
    <w:rsid w:val="007F53D0"/>
    <w:rsid w:val="008229B1"/>
    <w:rsid w:val="00825EC7"/>
    <w:rsid w:val="0085210E"/>
    <w:rsid w:val="008541FC"/>
    <w:rsid w:val="00861E49"/>
    <w:rsid w:val="008867B9"/>
    <w:rsid w:val="00895502"/>
    <w:rsid w:val="008C0126"/>
    <w:rsid w:val="008C2DBF"/>
    <w:rsid w:val="008D5F0C"/>
    <w:rsid w:val="008E076C"/>
    <w:rsid w:val="008F2649"/>
    <w:rsid w:val="009461BC"/>
    <w:rsid w:val="009626C7"/>
    <w:rsid w:val="00971980"/>
    <w:rsid w:val="009A2322"/>
    <w:rsid w:val="009D4916"/>
    <w:rsid w:val="009D653C"/>
    <w:rsid w:val="009F08AD"/>
    <w:rsid w:val="009F3AD0"/>
    <w:rsid w:val="00A41E52"/>
    <w:rsid w:val="00A443AA"/>
    <w:rsid w:val="00A464F6"/>
    <w:rsid w:val="00A471D6"/>
    <w:rsid w:val="00AA7AB4"/>
    <w:rsid w:val="00AF3C1D"/>
    <w:rsid w:val="00B21F17"/>
    <w:rsid w:val="00B3307F"/>
    <w:rsid w:val="00B7005C"/>
    <w:rsid w:val="00B74B1B"/>
    <w:rsid w:val="00B85C5C"/>
    <w:rsid w:val="00BC1F02"/>
    <w:rsid w:val="00BC3AA0"/>
    <w:rsid w:val="00BC7C47"/>
    <w:rsid w:val="00C44CD5"/>
    <w:rsid w:val="00C52BD2"/>
    <w:rsid w:val="00C6331F"/>
    <w:rsid w:val="00CC0230"/>
    <w:rsid w:val="00CD7D56"/>
    <w:rsid w:val="00CF6FD8"/>
    <w:rsid w:val="00D22B3C"/>
    <w:rsid w:val="00D247E5"/>
    <w:rsid w:val="00D33814"/>
    <w:rsid w:val="00D5759F"/>
    <w:rsid w:val="00D84E5D"/>
    <w:rsid w:val="00D94532"/>
    <w:rsid w:val="00DE7843"/>
    <w:rsid w:val="00DF3072"/>
    <w:rsid w:val="00E35622"/>
    <w:rsid w:val="00E418BC"/>
    <w:rsid w:val="00E445E2"/>
    <w:rsid w:val="00E76F16"/>
    <w:rsid w:val="00E776EE"/>
    <w:rsid w:val="00E96E79"/>
    <w:rsid w:val="00E9793F"/>
    <w:rsid w:val="00EB1EAA"/>
    <w:rsid w:val="00EB68B8"/>
    <w:rsid w:val="00ED2C37"/>
    <w:rsid w:val="00EF530C"/>
    <w:rsid w:val="00F00F08"/>
    <w:rsid w:val="00F021A8"/>
    <w:rsid w:val="00F14EF0"/>
    <w:rsid w:val="00F1551B"/>
    <w:rsid w:val="00F178FC"/>
    <w:rsid w:val="00F25C04"/>
    <w:rsid w:val="00F57FA2"/>
    <w:rsid w:val="00F613A2"/>
    <w:rsid w:val="00F90A42"/>
    <w:rsid w:val="00FB4B5D"/>
    <w:rsid w:val="00FB7DCA"/>
    <w:rsid w:val="00FC01CE"/>
    <w:rsid w:val="00F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166BAF6"/>
  <w15:docId w15:val="{4A80E4AB-0367-4E59-B433-9BA3592D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13A2"/>
    <w:rPr>
      <w:rFonts w:ascii="Calibri" w:hAnsi="Calibri"/>
      <w:sz w:val="24"/>
      <w:szCs w:val="22"/>
    </w:rPr>
  </w:style>
  <w:style w:type="paragraph" w:styleId="Heading1">
    <w:name w:val="heading 1"/>
    <w:basedOn w:val="Normal"/>
    <w:next w:val="Normal"/>
    <w:link w:val="Heading1Char"/>
    <w:uiPriority w:val="9"/>
    <w:qFormat/>
    <w:rsid w:val="00BC3AA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locked/>
    <w:rsid w:val="00B85C5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locked/>
    <w:rsid w:val="00B85C5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locked/>
    <w:rsid w:val="00B85C5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AA0"/>
    <w:rPr>
      <w:rFonts w:ascii="Cambria" w:hAnsi="Cambria" w:cs="Times New Roman"/>
      <w:b/>
      <w:bCs/>
      <w:color w:val="365F91"/>
      <w:sz w:val="28"/>
      <w:szCs w:val="28"/>
    </w:rPr>
  </w:style>
  <w:style w:type="character" w:styleId="Hyperlink">
    <w:name w:val="Hyperlink"/>
    <w:basedOn w:val="DefaultParagraphFont"/>
    <w:uiPriority w:val="99"/>
    <w:rsid w:val="00F613A2"/>
    <w:rPr>
      <w:rFonts w:cs="Times New Roman"/>
      <w:color w:val="0000FF"/>
      <w:u w:val="single"/>
    </w:rPr>
  </w:style>
  <w:style w:type="paragraph" w:styleId="ListParagraph">
    <w:name w:val="List Paragraph"/>
    <w:basedOn w:val="Normal"/>
    <w:uiPriority w:val="99"/>
    <w:qFormat/>
    <w:rsid w:val="00F613A2"/>
    <w:pPr>
      <w:ind w:left="720"/>
    </w:pPr>
  </w:style>
  <w:style w:type="paragraph" w:styleId="Header">
    <w:name w:val="header"/>
    <w:basedOn w:val="Normal"/>
    <w:link w:val="HeaderChar"/>
    <w:uiPriority w:val="99"/>
    <w:rsid w:val="000E3B85"/>
    <w:pPr>
      <w:tabs>
        <w:tab w:val="center" w:pos="4680"/>
        <w:tab w:val="right" w:pos="9360"/>
      </w:tabs>
    </w:pPr>
  </w:style>
  <w:style w:type="character" w:customStyle="1" w:styleId="HeaderChar">
    <w:name w:val="Header Char"/>
    <w:basedOn w:val="DefaultParagraphFont"/>
    <w:link w:val="Header"/>
    <w:uiPriority w:val="99"/>
    <w:locked/>
    <w:rsid w:val="000E3B85"/>
    <w:rPr>
      <w:rFonts w:ascii="Calibri" w:hAnsi="Calibri" w:cs="Times New Roman"/>
    </w:rPr>
  </w:style>
  <w:style w:type="paragraph" w:styleId="Footer">
    <w:name w:val="footer"/>
    <w:basedOn w:val="Normal"/>
    <w:link w:val="FooterChar"/>
    <w:uiPriority w:val="99"/>
    <w:rsid w:val="000E3B85"/>
    <w:pPr>
      <w:tabs>
        <w:tab w:val="center" w:pos="4680"/>
        <w:tab w:val="right" w:pos="9360"/>
      </w:tabs>
    </w:pPr>
  </w:style>
  <w:style w:type="character" w:customStyle="1" w:styleId="FooterChar">
    <w:name w:val="Footer Char"/>
    <w:basedOn w:val="DefaultParagraphFont"/>
    <w:link w:val="Footer"/>
    <w:uiPriority w:val="99"/>
    <w:locked/>
    <w:rsid w:val="000E3B85"/>
    <w:rPr>
      <w:rFonts w:ascii="Calibri" w:hAnsi="Calibri" w:cs="Times New Roman"/>
    </w:rPr>
  </w:style>
  <w:style w:type="character" w:styleId="CommentReference">
    <w:name w:val="annotation reference"/>
    <w:basedOn w:val="DefaultParagraphFont"/>
    <w:uiPriority w:val="99"/>
    <w:semiHidden/>
    <w:rsid w:val="00AF3C1D"/>
    <w:rPr>
      <w:rFonts w:cs="Times New Roman"/>
      <w:sz w:val="16"/>
      <w:szCs w:val="16"/>
    </w:rPr>
  </w:style>
  <w:style w:type="paragraph" w:styleId="CommentText">
    <w:name w:val="annotation text"/>
    <w:basedOn w:val="Normal"/>
    <w:link w:val="CommentTextChar"/>
    <w:uiPriority w:val="99"/>
    <w:semiHidden/>
    <w:rsid w:val="00AF3C1D"/>
    <w:rPr>
      <w:sz w:val="20"/>
      <w:szCs w:val="20"/>
    </w:rPr>
  </w:style>
  <w:style w:type="character" w:customStyle="1" w:styleId="CommentTextChar">
    <w:name w:val="Comment Text Char"/>
    <w:basedOn w:val="DefaultParagraphFont"/>
    <w:link w:val="CommentText"/>
    <w:uiPriority w:val="99"/>
    <w:semiHidden/>
    <w:locked/>
    <w:rsid w:val="00AF3C1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F3C1D"/>
    <w:rPr>
      <w:b/>
      <w:bCs/>
    </w:rPr>
  </w:style>
  <w:style w:type="character" w:customStyle="1" w:styleId="CommentSubjectChar">
    <w:name w:val="Comment Subject Char"/>
    <w:basedOn w:val="CommentTextChar"/>
    <w:link w:val="CommentSubject"/>
    <w:uiPriority w:val="99"/>
    <w:semiHidden/>
    <w:locked/>
    <w:rsid w:val="00AF3C1D"/>
    <w:rPr>
      <w:rFonts w:ascii="Calibri" w:hAnsi="Calibri" w:cs="Times New Roman"/>
      <w:b/>
      <w:bCs/>
      <w:sz w:val="20"/>
      <w:szCs w:val="20"/>
    </w:rPr>
  </w:style>
  <w:style w:type="paragraph" w:styleId="BalloonText">
    <w:name w:val="Balloon Text"/>
    <w:basedOn w:val="Normal"/>
    <w:link w:val="BalloonTextChar"/>
    <w:uiPriority w:val="99"/>
    <w:semiHidden/>
    <w:rsid w:val="00AF3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C1D"/>
    <w:rPr>
      <w:rFonts w:ascii="Tahoma" w:hAnsi="Tahoma" w:cs="Tahoma"/>
      <w:sz w:val="16"/>
      <w:szCs w:val="16"/>
    </w:rPr>
  </w:style>
  <w:style w:type="character" w:styleId="FollowedHyperlink">
    <w:name w:val="FollowedHyperlink"/>
    <w:basedOn w:val="DefaultParagraphFont"/>
    <w:uiPriority w:val="99"/>
    <w:semiHidden/>
    <w:rsid w:val="00AF3C1D"/>
    <w:rPr>
      <w:rFonts w:cs="Times New Roman"/>
      <w:color w:val="800080"/>
      <w:u w:val="single"/>
    </w:rPr>
  </w:style>
  <w:style w:type="paragraph" w:styleId="Bibliography">
    <w:name w:val="Bibliography"/>
    <w:basedOn w:val="Normal"/>
    <w:next w:val="Normal"/>
    <w:uiPriority w:val="99"/>
    <w:rsid w:val="0001009A"/>
  </w:style>
  <w:style w:type="character" w:customStyle="1" w:styleId="Heading2Char">
    <w:name w:val="Heading 2 Char"/>
    <w:basedOn w:val="DefaultParagraphFont"/>
    <w:link w:val="Heading2"/>
    <w:semiHidden/>
    <w:rsid w:val="00B85C5C"/>
    <w:rPr>
      <w:rFonts w:ascii="Cambria" w:eastAsia="Times New Roman" w:hAnsi="Cambria" w:cs="Times New Roman"/>
      <w:b/>
      <w:bCs/>
      <w:i/>
      <w:iCs/>
      <w:sz w:val="28"/>
      <w:szCs w:val="28"/>
    </w:rPr>
  </w:style>
  <w:style w:type="paragraph" w:customStyle="1" w:styleId="para">
    <w:name w:val="para"/>
    <w:basedOn w:val="Normal"/>
    <w:uiPriority w:val="99"/>
    <w:rsid w:val="00B85C5C"/>
    <w:pPr>
      <w:spacing w:before="120"/>
    </w:pPr>
    <w:rPr>
      <w:rFonts w:ascii="Times New Roman" w:eastAsia="Times New Roman" w:hAnsi="Times New Roman"/>
      <w:szCs w:val="24"/>
    </w:rPr>
  </w:style>
  <w:style w:type="paragraph" w:styleId="Title">
    <w:name w:val="Title"/>
    <w:basedOn w:val="Normal"/>
    <w:next w:val="Normal"/>
    <w:link w:val="TitleChar"/>
    <w:uiPriority w:val="99"/>
    <w:qFormat/>
    <w:locked/>
    <w:rsid w:val="00B85C5C"/>
    <w:pPr>
      <w:widowControl w:val="0"/>
      <w:spacing w:before="240" w:after="240"/>
      <w:jc w:val="center"/>
    </w:pPr>
    <w:rPr>
      <w:rFonts w:ascii="Arial" w:eastAsia="Times New Roman" w:hAnsi="Arial"/>
      <w:b/>
      <w:sz w:val="36"/>
      <w:szCs w:val="20"/>
    </w:rPr>
  </w:style>
  <w:style w:type="character" w:customStyle="1" w:styleId="TitleChar">
    <w:name w:val="Title Char"/>
    <w:basedOn w:val="DefaultParagraphFont"/>
    <w:link w:val="Title"/>
    <w:uiPriority w:val="99"/>
    <w:rsid w:val="00B85C5C"/>
    <w:rPr>
      <w:rFonts w:ascii="Arial" w:eastAsia="Times New Roman" w:hAnsi="Arial"/>
      <w:b/>
      <w:sz w:val="36"/>
    </w:rPr>
  </w:style>
  <w:style w:type="paragraph" w:styleId="TOC1">
    <w:name w:val="toc 1"/>
    <w:basedOn w:val="Normal"/>
    <w:next w:val="Normal"/>
    <w:uiPriority w:val="39"/>
    <w:locked/>
    <w:rsid w:val="00B85C5C"/>
    <w:pPr>
      <w:widowControl w:val="0"/>
      <w:spacing w:before="120" w:after="120"/>
    </w:pPr>
    <w:rPr>
      <w:rFonts w:eastAsia="Times New Roman"/>
      <w:b/>
      <w:bCs/>
      <w:caps/>
      <w:sz w:val="20"/>
      <w:szCs w:val="20"/>
    </w:rPr>
  </w:style>
  <w:style w:type="paragraph" w:styleId="TOC2">
    <w:name w:val="toc 2"/>
    <w:basedOn w:val="Normal"/>
    <w:next w:val="Normal"/>
    <w:uiPriority w:val="39"/>
    <w:locked/>
    <w:rsid w:val="00B85C5C"/>
    <w:pPr>
      <w:widowControl w:val="0"/>
      <w:ind w:left="240"/>
    </w:pPr>
    <w:rPr>
      <w:rFonts w:eastAsia="Times New Roman"/>
      <w:smallCaps/>
      <w:sz w:val="20"/>
      <w:szCs w:val="20"/>
    </w:rPr>
  </w:style>
  <w:style w:type="paragraph" w:styleId="TOC3">
    <w:name w:val="toc 3"/>
    <w:basedOn w:val="Normal"/>
    <w:next w:val="Normal"/>
    <w:uiPriority w:val="39"/>
    <w:locked/>
    <w:rsid w:val="00B85C5C"/>
    <w:pPr>
      <w:widowControl w:val="0"/>
      <w:ind w:left="480"/>
    </w:pPr>
    <w:rPr>
      <w:rFonts w:eastAsia="Times New Roman"/>
      <w:i/>
      <w:iCs/>
      <w:sz w:val="20"/>
      <w:szCs w:val="20"/>
    </w:rPr>
  </w:style>
  <w:style w:type="paragraph" w:styleId="BodyText">
    <w:name w:val="Body Text"/>
    <w:basedOn w:val="Normal"/>
    <w:link w:val="BodyTextChar"/>
    <w:uiPriority w:val="99"/>
    <w:rsid w:val="00B85C5C"/>
    <w:pPr>
      <w:keepLines/>
      <w:widowControl w:val="0"/>
      <w:spacing w:after="120"/>
      <w:ind w:left="720"/>
    </w:pPr>
    <w:rPr>
      <w:rFonts w:ascii="Times New Roman" w:eastAsia="Times New Roman" w:hAnsi="Times New Roman"/>
      <w:szCs w:val="20"/>
    </w:rPr>
  </w:style>
  <w:style w:type="character" w:customStyle="1" w:styleId="BodyTextChar">
    <w:name w:val="Body Text Char"/>
    <w:basedOn w:val="DefaultParagraphFont"/>
    <w:link w:val="BodyText"/>
    <w:uiPriority w:val="99"/>
    <w:rsid w:val="00B85C5C"/>
    <w:rPr>
      <w:rFonts w:eastAsia="Times New Roman"/>
      <w:sz w:val="24"/>
    </w:rPr>
  </w:style>
  <w:style w:type="paragraph" w:customStyle="1" w:styleId="FigureTitle">
    <w:name w:val="Figure Title"/>
    <w:basedOn w:val="Normal"/>
    <w:next w:val="Normal"/>
    <w:uiPriority w:val="99"/>
    <w:rsid w:val="00B85C5C"/>
    <w:pPr>
      <w:spacing w:before="360"/>
      <w:jc w:val="center"/>
      <w:outlineLvl w:val="0"/>
    </w:pPr>
    <w:rPr>
      <w:rFonts w:ascii="Arial" w:eastAsia="Times New Roman" w:hAnsi="Arial"/>
      <w:b/>
      <w:szCs w:val="24"/>
    </w:rPr>
  </w:style>
  <w:style w:type="paragraph" w:customStyle="1" w:styleId="Heading30">
    <w:name w:val="Heading3"/>
    <w:basedOn w:val="Heading3"/>
    <w:link w:val="Heading3Char0"/>
    <w:uiPriority w:val="99"/>
    <w:rsid w:val="00B85C5C"/>
    <w:rPr>
      <w:rFonts w:ascii="Arial" w:hAnsi="Arial"/>
      <w:bCs w:val="0"/>
      <w:sz w:val="24"/>
      <w:szCs w:val="20"/>
    </w:rPr>
  </w:style>
  <w:style w:type="paragraph" w:customStyle="1" w:styleId="Heading40">
    <w:name w:val="Heading4"/>
    <w:basedOn w:val="Heading4"/>
    <w:link w:val="Heading4Char0"/>
    <w:uiPriority w:val="99"/>
    <w:rsid w:val="00B85C5C"/>
    <w:pPr>
      <w:ind w:firstLine="720"/>
    </w:pPr>
    <w:rPr>
      <w:rFonts w:ascii="Arial" w:hAnsi="Arial"/>
      <w:bCs w:val="0"/>
      <w:i/>
      <w:sz w:val="24"/>
      <w:szCs w:val="20"/>
    </w:rPr>
  </w:style>
  <w:style w:type="character" w:customStyle="1" w:styleId="Heading3Char0">
    <w:name w:val="Heading3 Char"/>
    <w:basedOn w:val="Heading3Char"/>
    <w:link w:val="Heading30"/>
    <w:uiPriority w:val="99"/>
    <w:locked/>
    <w:rsid w:val="00B85C5C"/>
    <w:rPr>
      <w:rFonts w:ascii="Arial" w:eastAsia="Times New Roman" w:hAnsi="Arial" w:cs="Times New Roman"/>
      <w:b/>
      <w:bCs/>
      <w:sz w:val="24"/>
      <w:szCs w:val="26"/>
    </w:rPr>
  </w:style>
  <w:style w:type="paragraph" w:styleId="BodyText2">
    <w:name w:val="Body Text 2"/>
    <w:basedOn w:val="Normal"/>
    <w:link w:val="BodyText2Char"/>
    <w:uiPriority w:val="99"/>
    <w:rsid w:val="00B85C5C"/>
    <w:pPr>
      <w:widowControl w:val="0"/>
      <w:spacing w:after="120" w:line="480" w:lineRule="auto"/>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B85C5C"/>
    <w:rPr>
      <w:rFonts w:eastAsia="Times New Roman"/>
      <w:sz w:val="24"/>
    </w:rPr>
  </w:style>
  <w:style w:type="character" w:customStyle="1" w:styleId="Heading4Char0">
    <w:name w:val="Heading4 Char"/>
    <w:basedOn w:val="Heading4Char"/>
    <w:link w:val="Heading40"/>
    <w:uiPriority w:val="99"/>
    <w:locked/>
    <w:rsid w:val="00B85C5C"/>
    <w:rPr>
      <w:rFonts w:ascii="Arial" w:eastAsia="Times New Roman" w:hAnsi="Arial" w:cs="Times New Roman"/>
      <w:b/>
      <w:bCs/>
      <w:i/>
      <w:sz w:val="24"/>
      <w:szCs w:val="28"/>
    </w:rPr>
  </w:style>
  <w:style w:type="paragraph" w:styleId="TOC4">
    <w:name w:val="toc 4"/>
    <w:basedOn w:val="Normal"/>
    <w:next w:val="Normal"/>
    <w:autoRedefine/>
    <w:uiPriority w:val="39"/>
    <w:locked/>
    <w:rsid w:val="00B85C5C"/>
    <w:pPr>
      <w:widowControl w:val="0"/>
      <w:ind w:left="720"/>
    </w:pPr>
    <w:rPr>
      <w:rFonts w:eastAsia="Times New Roman"/>
      <w:sz w:val="18"/>
      <w:szCs w:val="18"/>
    </w:rPr>
  </w:style>
  <w:style w:type="character" w:customStyle="1" w:styleId="Heading3Char">
    <w:name w:val="Heading 3 Char"/>
    <w:basedOn w:val="DefaultParagraphFont"/>
    <w:link w:val="Heading3"/>
    <w:semiHidden/>
    <w:rsid w:val="00B85C5C"/>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85C5C"/>
    <w:rPr>
      <w:rFonts w:ascii="Calibri" w:eastAsia="Times New Roman" w:hAnsi="Calibri" w:cs="Times New Roman"/>
      <w:b/>
      <w:bCs/>
      <w:sz w:val="28"/>
      <w:szCs w:val="28"/>
    </w:rPr>
  </w:style>
  <w:style w:type="paragraph" w:styleId="Revision">
    <w:name w:val="Revision"/>
    <w:hidden/>
    <w:uiPriority w:val="99"/>
    <w:semiHidden/>
    <w:rsid w:val="00D33814"/>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4f51c4e7-3c8e-44fa-b888-5f1236731583">This document specifies the DEP Portal Standard and provides specifications for integrating with the DEP Portal page, DEP Portlets and Oracle Internet Directory (OID) Security. </Description0>
    <Last_x0020_Revised xmlns="4f51c4e7-3c8e-44fa-b888-5f1236731583">2010-04-01T07:00:00+00:00</Last_x0020_Revised>
    <Category xmlns="4f51c4e7-3c8e-44fa-b888-5f1236731583">Application Development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FLD098</b:Tag>
    <b:SourceType>Report</b:SourceType>
    <b:Guid>{5E3E36E9-3AAE-4E40-8C32-294CE5127F92}</b:Guid>
    <b:Author>
      <b:Author>
        <b:Corporate>FL Dept. of Environmental Protection</b:Corporate>
      </b:Author>
    </b:Author>
    <b:Title>DEP JEE Security Framework Standard</b:Title>
    <b:Year>2009</b:Year>
    <b:City>Tallahassee</b:City>
    <b:Publisher>FL DEP</b:Publisher>
    <b:RefOrder>1</b:RefOrder>
  </b:Source>
  <b:Source>
    <b:Tag>FLD0925</b:Tag>
    <b:SourceType>Report</b:SourceType>
    <b:Guid>{1244C830-C536-42FB-A9F4-603D2BA29D51}</b:Guid>
    <b:Author>
      <b:Author>
        <b:Corporate>FL Dept. of Environmental Protection</b:Corporate>
      </b:Author>
    </b:Author>
    <b:Title>Java Application Naming Standard</b:Title>
    <b:Year>2009</b:Year>
    <b:Publisher>FL DEP</b:Publisher>
    <b:City>Tallahassee</b:City>
    <b:RefOrder>2</b:RefOrder>
  </b:Source>
</b:Sources>
</file>

<file path=customXml/item5.xml><?xml version="1.0" encoding="utf-8"?>
<b:Sources xmlns:b="http://schemas.openxmlformats.org/officeDocument/2006/bibliography" xmlns="http://schemas.openxmlformats.org/officeDocument/2006/bibliography" SelectedStyle="\APA.XSL" StyleName="APA">
  <b:Source>
    <b:Tag>FLD098</b:Tag>
    <b:SourceType>Report</b:SourceType>
    <b:Guid>{5E3E36E9-3AAE-4E40-8C32-294CE5127F92}</b:Guid>
    <b:Author>
      <b:Author>
        <b:Corporate>FL Dept. of Environmental Protection</b:Corporate>
      </b:Author>
    </b:Author>
    <b:Title>DEP JEE Security Framework Standard</b:Title>
    <b:Year>2009</b:Year>
    <b:City>Tallahassee</b:City>
    <b:Publisher>FL DEP</b:Publisher>
    <b:RefOrder>1</b:RefOrder>
  </b:Source>
  <b:Source>
    <b:Tag>FLD0925</b:Tag>
    <b:SourceType>Report</b:SourceType>
    <b:Guid>{1244C830-C536-42FB-A9F4-603D2BA29D51}</b:Guid>
    <b:Author>
      <b:Author>
        <b:Corporate>FL Dept. of Environmental Protection</b:Corporate>
      </b:Author>
    </b:Author>
    <b:Title>Java Application Naming Standard</b:Title>
    <b:Year>2009</b:Year>
    <b:Publisher>FL DEP</b:Publisher>
    <b:City>Tallahassee</b:City>
    <b:RefOrder>2</b:RefOrder>
  </b:Source>
</b:Sources>
</file>

<file path=customXml/itemProps1.xml><?xml version="1.0" encoding="utf-8"?>
<ds:datastoreItem xmlns:ds="http://schemas.openxmlformats.org/officeDocument/2006/customXml" ds:itemID="{EBA798CB-6851-4EE5-9E9C-74F4CD6084E1}">
  <ds:schemaRefs>
    <ds:schemaRef ds:uri="http://schemas.microsoft.com/sharepoint/v3/contenttype/forms"/>
  </ds:schemaRefs>
</ds:datastoreItem>
</file>

<file path=customXml/itemProps2.xml><?xml version="1.0" encoding="utf-8"?>
<ds:datastoreItem xmlns:ds="http://schemas.openxmlformats.org/officeDocument/2006/customXml" ds:itemID="{63829D59-F38F-4FBC-8B5A-6F58A7EA40EE}">
  <ds:schemaRefs>
    <ds:schemaRef ds:uri="http://schemas.microsoft.com/office/2006/metadata/properties"/>
    <ds:schemaRef ds:uri="http://schemas.microsoft.com/sharepoint/v3"/>
    <ds:schemaRef ds:uri="4f51c4e7-3c8e-44fa-b888-5f1236731583"/>
  </ds:schemaRefs>
</ds:datastoreItem>
</file>

<file path=customXml/itemProps3.xml><?xml version="1.0" encoding="utf-8"?>
<ds:datastoreItem xmlns:ds="http://schemas.openxmlformats.org/officeDocument/2006/customXml" ds:itemID="{AA8C1F2C-80B6-45CE-87BB-22672478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DFDCD-EEDE-4B0B-817C-4021EDB9950E}">
  <ds:schemaRefs>
    <ds:schemaRef ds:uri="http://schemas.openxmlformats.org/officeDocument/2006/bibliography"/>
  </ds:schemaRefs>
</ds:datastoreItem>
</file>

<file path=customXml/itemProps5.xml><?xml version="1.0" encoding="utf-8"?>
<ds:datastoreItem xmlns:ds="http://schemas.openxmlformats.org/officeDocument/2006/customXml" ds:itemID="{7BD2824E-B53D-4480-A9C8-0490DD00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Portal Standard</vt:lpstr>
    </vt:vector>
  </TitlesOfParts>
  <Company>DEP</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Standard</dc:title>
  <dc:subject/>
  <dc:creator>Davis_n</dc:creator>
  <cp:keywords/>
  <dc:description/>
  <cp:lastModifiedBy>Peyton, Sean</cp:lastModifiedBy>
  <cp:revision>3</cp:revision>
  <cp:lastPrinted>2010-03-24T14:20:00Z</cp:lastPrinted>
  <dcterms:created xsi:type="dcterms:W3CDTF">2016-12-19T18:03:00Z</dcterms:created>
  <dcterms:modified xsi:type="dcterms:W3CDTF">2016-12-19T18:03:00Z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