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2361" w14:textId="2009FFB9" w:rsidR="005F2F12" w:rsidRPr="00AB166D" w:rsidRDefault="005F2F12" w:rsidP="00D60874">
      <w:pPr>
        <w:tabs>
          <w:tab w:val="left" w:pos="5760"/>
          <w:tab w:val="left" w:pos="6120"/>
        </w:tabs>
        <w:contextualSpacing/>
        <w:jc w:val="center"/>
        <w:rPr>
          <w:b/>
          <w:noProof/>
        </w:rPr>
      </w:pPr>
      <w:r w:rsidRPr="00AB166D">
        <w:rPr>
          <w:b/>
          <w:noProof/>
        </w:rPr>
        <w:t xml:space="preserve">Drinking Water </w:t>
      </w:r>
      <w:r w:rsidR="00013556" w:rsidRPr="00AB166D">
        <w:rPr>
          <w:b/>
          <w:noProof/>
        </w:rPr>
        <w:t>Ch</w:t>
      </w:r>
      <w:r w:rsidR="00EE32B2" w:rsidRPr="00AB166D">
        <w:rPr>
          <w:b/>
          <w:noProof/>
        </w:rPr>
        <w:t xml:space="preserve">emical </w:t>
      </w:r>
      <w:r w:rsidRPr="00AB166D">
        <w:rPr>
          <w:b/>
          <w:noProof/>
        </w:rPr>
        <w:t>Monitoring Requirements</w:t>
      </w:r>
      <w:r w:rsidR="00013556" w:rsidRPr="00AB166D">
        <w:rPr>
          <w:b/>
          <w:noProof/>
        </w:rPr>
        <w:t xml:space="preserve"> for Transient Non-Community Water Systems</w:t>
      </w:r>
    </w:p>
    <w:p w14:paraId="1D672013" w14:textId="77777777" w:rsidR="000B5D30" w:rsidRPr="00AB166D" w:rsidRDefault="000B5D30" w:rsidP="001719BA">
      <w:pPr>
        <w:tabs>
          <w:tab w:val="left" w:pos="5760"/>
          <w:tab w:val="left" w:pos="6120"/>
        </w:tabs>
        <w:contextualSpacing/>
        <w:rPr>
          <w:sz w:val="20"/>
          <w:szCs w:val="20"/>
        </w:rPr>
      </w:pPr>
    </w:p>
    <w:p w14:paraId="675DBD1B" w14:textId="331DB9BD" w:rsidR="00A431F0" w:rsidRPr="00AB166D" w:rsidRDefault="005F2F12" w:rsidP="00400604">
      <w:pPr>
        <w:pStyle w:val="BodyText"/>
        <w:tabs>
          <w:tab w:val="clear" w:pos="900"/>
        </w:tabs>
        <w:spacing w:after="120"/>
        <w:rPr>
          <w:sz w:val="20"/>
        </w:rPr>
      </w:pPr>
      <w:r w:rsidRPr="00AB166D">
        <w:rPr>
          <w:sz w:val="20"/>
        </w:rPr>
        <w:t xml:space="preserve">This letter summarizes </w:t>
      </w:r>
      <w:r w:rsidR="008D4DD5" w:rsidRPr="00AB166D">
        <w:rPr>
          <w:sz w:val="20"/>
        </w:rPr>
        <w:t xml:space="preserve">the </w:t>
      </w:r>
      <w:r w:rsidRPr="00AB166D">
        <w:rPr>
          <w:sz w:val="20"/>
        </w:rPr>
        <w:t>current monitoring requ</w:t>
      </w:r>
      <w:r w:rsidR="00D31282" w:rsidRPr="00AB166D">
        <w:rPr>
          <w:sz w:val="20"/>
        </w:rPr>
        <w:t>irements for the above facility</w:t>
      </w:r>
      <w:r w:rsidR="008D4DD5" w:rsidRPr="00AB166D">
        <w:rPr>
          <w:sz w:val="20"/>
        </w:rPr>
        <w:t xml:space="preserve"> as required </w:t>
      </w:r>
      <w:r w:rsidR="008806C3" w:rsidRPr="00AB166D">
        <w:rPr>
          <w:sz w:val="20"/>
        </w:rPr>
        <w:t xml:space="preserve">under </w:t>
      </w:r>
      <w:r w:rsidR="00E242AA" w:rsidRPr="00AB166D">
        <w:rPr>
          <w:sz w:val="20"/>
        </w:rPr>
        <w:t>Rule 62-550 of the Florida Administrative Code (Fla. Admin. Code)</w:t>
      </w:r>
      <w:r w:rsidR="0070439E" w:rsidRPr="00AB166D">
        <w:rPr>
          <w:sz w:val="20"/>
        </w:rPr>
        <w:t xml:space="preserve">, available at </w:t>
      </w:r>
      <w:hyperlink r:id="rId8" w:history="1">
        <w:r w:rsidR="00646F74" w:rsidRPr="00AB166D">
          <w:rPr>
            <w:rStyle w:val="Hyperlink"/>
            <w:sz w:val="20"/>
          </w:rPr>
          <w:t>www.flrules.org</w:t>
        </w:r>
      </w:hyperlink>
      <w:r w:rsidR="00E242AA" w:rsidRPr="00AB166D">
        <w:rPr>
          <w:sz w:val="20"/>
        </w:rPr>
        <w:t xml:space="preserve">.  </w:t>
      </w:r>
    </w:p>
    <w:p w14:paraId="3A60D489" w14:textId="77777777" w:rsidR="00AB166D" w:rsidRDefault="00AB166D" w:rsidP="001719BA">
      <w:pPr>
        <w:pStyle w:val="BodyText"/>
        <w:tabs>
          <w:tab w:val="clear" w:pos="900"/>
        </w:tabs>
        <w:contextualSpacing/>
        <w:rPr>
          <w:b/>
          <w:sz w:val="20"/>
        </w:rPr>
      </w:pPr>
    </w:p>
    <w:p w14:paraId="0E009978" w14:textId="318AF189" w:rsidR="00013556" w:rsidRPr="00AB166D" w:rsidRDefault="00DF50C1" w:rsidP="001719BA">
      <w:pPr>
        <w:pStyle w:val="BodyText"/>
        <w:tabs>
          <w:tab w:val="clear" w:pos="900"/>
        </w:tabs>
        <w:contextualSpacing/>
        <w:rPr>
          <w:sz w:val="20"/>
        </w:rPr>
      </w:pPr>
      <w:r w:rsidRPr="00AB166D">
        <w:rPr>
          <w:b/>
          <w:sz w:val="20"/>
        </w:rPr>
        <w:t>It is ultimately the responsibility of the facility owners to ensure all monitoring is</w:t>
      </w:r>
      <w:r w:rsidR="00A431F0" w:rsidRPr="00AB166D">
        <w:rPr>
          <w:b/>
          <w:sz w:val="20"/>
        </w:rPr>
        <w:t xml:space="preserve"> </w:t>
      </w:r>
      <w:r w:rsidR="00013556" w:rsidRPr="00AB166D">
        <w:rPr>
          <w:b/>
          <w:sz w:val="20"/>
        </w:rPr>
        <w:t>c</w:t>
      </w:r>
      <w:r w:rsidRPr="00AB166D">
        <w:rPr>
          <w:b/>
          <w:sz w:val="20"/>
        </w:rPr>
        <w:t>ompleted</w:t>
      </w:r>
      <w:r w:rsidR="00013556" w:rsidRPr="00AB166D">
        <w:rPr>
          <w:b/>
          <w:sz w:val="20"/>
        </w:rPr>
        <w:t xml:space="preserve"> </w:t>
      </w:r>
      <w:r w:rsidRPr="00AB166D">
        <w:rPr>
          <w:b/>
          <w:sz w:val="20"/>
        </w:rPr>
        <w:t xml:space="preserve">and results are submitted timely to </w:t>
      </w:r>
      <w:r w:rsidR="000D67D6" w:rsidRPr="00AB166D">
        <w:rPr>
          <w:b/>
          <w:sz w:val="20"/>
        </w:rPr>
        <w:t>the</w:t>
      </w:r>
      <w:r w:rsidRPr="00AB166D">
        <w:rPr>
          <w:b/>
          <w:sz w:val="20"/>
        </w:rPr>
        <w:t xml:space="preserve"> Department.</w:t>
      </w:r>
      <w:r w:rsidR="00A431F0" w:rsidRPr="00AB166D">
        <w:rPr>
          <w:b/>
          <w:sz w:val="20"/>
        </w:rPr>
        <w:t xml:space="preserve"> </w:t>
      </w:r>
      <w:r w:rsidR="00013556" w:rsidRPr="00AB166D">
        <w:rPr>
          <w:sz w:val="20"/>
        </w:rPr>
        <w:t xml:space="preserve">When you receive results from the laboratory, </w:t>
      </w:r>
      <w:r w:rsidR="00013556" w:rsidRPr="00AB166D">
        <w:rPr>
          <w:b/>
          <w:sz w:val="20"/>
        </w:rPr>
        <w:t>review the report immediately</w:t>
      </w:r>
      <w:r w:rsidR="00A431F0" w:rsidRPr="00AB166D">
        <w:rPr>
          <w:b/>
          <w:sz w:val="20"/>
        </w:rPr>
        <w:t>.</w:t>
      </w:r>
      <w:r w:rsidR="00013556" w:rsidRPr="00AB166D">
        <w:rPr>
          <w:sz w:val="20"/>
        </w:rPr>
        <w:t xml:space="preserve"> </w:t>
      </w:r>
    </w:p>
    <w:p w14:paraId="27F264E0" w14:textId="3D47D9AC" w:rsidR="00446CB9" w:rsidRPr="00AB166D" w:rsidRDefault="00446CB9" w:rsidP="00446CB9">
      <w:pPr>
        <w:pStyle w:val="BodyText"/>
        <w:tabs>
          <w:tab w:val="clear" w:pos="900"/>
        </w:tabs>
        <w:contextualSpacing/>
        <w:rPr>
          <w:i/>
          <w:sz w:val="20"/>
        </w:rPr>
      </w:pPr>
      <w:r w:rsidRPr="00AB166D">
        <w:rPr>
          <w:i/>
          <w:sz w:val="20"/>
        </w:rPr>
        <w:t xml:space="preserve">NOTE: the below is standard monitoring requirements. Some systems may be required to monitor less or more frequently based on monitoring history. </w:t>
      </w:r>
    </w:p>
    <w:p w14:paraId="3C15B5F6" w14:textId="77777777" w:rsidR="00446CB9" w:rsidRPr="00AB166D" w:rsidRDefault="00446CB9" w:rsidP="001719BA">
      <w:pPr>
        <w:pStyle w:val="BodyText"/>
        <w:tabs>
          <w:tab w:val="clear" w:pos="900"/>
        </w:tabs>
        <w:contextualSpacing/>
        <w:rPr>
          <w:sz w:val="20"/>
        </w:rPr>
      </w:pPr>
    </w:p>
    <w:p w14:paraId="68DCD115" w14:textId="2FC6555A" w:rsidR="00013556" w:rsidRPr="00AB166D" w:rsidRDefault="00013556" w:rsidP="001719BA">
      <w:pPr>
        <w:pStyle w:val="BodyText"/>
        <w:tabs>
          <w:tab w:val="clear" w:pos="900"/>
        </w:tabs>
        <w:contextualSpacing/>
        <w:rPr>
          <w:b/>
          <w:sz w:val="20"/>
          <w:u w:val="single"/>
        </w:rPr>
      </w:pPr>
      <w:r w:rsidRPr="00AB166D">
        <w:rPr>
          <w:b/>
          <w:sz w:val="20"/>
          <w:u w:val="single"/>
        </w:rPr>
        <w:t>Bacteriological Monitoring</w:t>
      </w:r>
    </w:p>
    <w:p w14:paraId="7A4E0617" w14:textId="275A5534" w:rsidR="00013556" w:rsidRPr="00AB166D" w:rsidRDefault="00013556" w:rsidP="00013556">
      <w:pPr>
        <w:pStyle w:val="BodyText"/>
        <w:numPr>
          <w:ilvl w:val="0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Required per Rules 62-550.310, 62-550.828, and 62-</w:t>
      </w:r>
      <w:bookmarkStart w:id="0" w:name="_GoBack"/>
      <w:bookmarkEnd w:id="0"/>
      <w:r w:rsidRPr="00AB166D">
        <w:rPr>
          <w:sz w:val="20"/>
        </w:rPr>
        <w:t>550.830, Fla. Admin. Code.</w:t>
      </w:r>
    </w:p>
    <w:p w14:paraId="768F8082" w14:textId="41239971" w:rsidR="00013556" w:rsidRPr="00AB166D" w:rsidRDefault="00853E0B" w:rsidP="00013556">
      <w:pPr>
        <w:pStyle w:val="BodyText"/>
        <w:numPr>
          <w:ilvl w:val="0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Systems </w:t>
      </w:r>
      <w:r w:rsidRPr="00AB166D">
        <w:rPr>
          <w:i/>
          <w:sz w:val="20"/>
        </w:rPr>
        <w:t>under</w:t>
      </w:r>
      <w:r w:rsidRPr="00AB166D">
        <w:rPr>
          <w:sz w:val="20"/>
        </w:rPr>
        <w:t xml:space="preserve"> 1,000 population must sample during each calendar quarter</w:t>
      </w:r>
      <w:r w:rsidR="00AB166D">
        <w:rPr>
          <w:sz w:val="20"/>
        </w:rPr>
        <w:t xml:space="preserve"> (Jan-March, April-June, July-Sept, Oct-Dec)</w:t>
      </w:r>
    </w:p>
    <w:p w14:paraId="2B60E384" w14:textId="420AD01E" w:rsidR="00974A54" w:rsidRPr="00AB166D" w:rsidRDefault="00974A54" w:rsidP="00974A54">
      <w:pPr>
        <w:pStyle w:val="BodyText"/>
        <w:numPr>
          <w:ilvl w:val="1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A sample from each well must be collected under the Ground Water Rule.</w:t>
      </w:r>
    </w:p>
    <w:p w14:paraId="6FDD3CA4" w14:textId="0045D229" w:rsidR="00446CB9" w:rsidRPr="00AB166D" w:rsidRDefault="00446CB9" w:rsidP="00853E0B">
      <w:pPr>
        <w:pStyle w:val="BodyText"/>
        <w:numPr>
          <w:ilvl w:val="1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At least one distribution sample must be collected under the Revised Total Coliform Rule.</w:t>
      </w:r>
    </w:p>
    <w:p w14:paraId="3F1776B8" w14:textId="02256696" w:rsidR="00853E0B" w:rsidRPr="00AB166D" w:rsidRDefault="00853E0B" w:rsidP="00853E0B">
      <w:pPr>
        <w:pStyle w:val="BodyText"/>
        <w:numPr>
          <w:ilvl w:val="1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We recommend collecting samples within the first month of each calendar quarter.  A table is provided to assist you in tracking monitoring.</w:t>
      </w:r>
    </w:p>
    <w:tbl>
      <w:tblPr>
        <w:tblStyle w:val="GridTable1Light"/>
        <w:tblpPr w:leftFromText="180" w:rightFromText="180" w:vertAnchor="text" w:horzAnchor="page" w:tblpX="2342" w:tblpY="102"/>
        <w:tblOverlap w:val="never"/>
        <w:tblW w:w="0" w:type="auto"/>
        <w:tblLook w:val="04A0" w:firstRow="1" w:lastRow="0" w:firstColumn="1" w:lastColumn="0" w:noHBand="0" w:noVBand="1"/>
        <w:tblCaption w:val="Monitoring Quarters Table"/>
      </w:tblPr>
      <w:tblGrid>
        <w:gridCol w:w="2520"/>
        <w:gridCol w:w="2493"/>
        <w:gridCol w:w="2493"/>
      </w:tblGrid>
      <w:tr w:rsidR="00971BAE" w:rsidRPr="00AB166D" w14:paraId="65633E69" w14:textId="77777777" w:rsidTr="00971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B92FA11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jc w:val="center"/>
              <w:rPr>
                <w:sz w:val="20"/>
              </w:rPr>
            </w:pPr>
            <w:r w:rsidRPr="00AB166D">
              <w:rPr>
                <w:sz w:val="20"/>
              </w:rPr>
              <w:t>Monitoring Quarters</w:t>
            </w:r>
          </w:p>
        </w:tc>
        <w:tc>
          <w:tcPr>
            <w:tcW w:w="2493" w:type="dxa"/>
          </w:tcPr>
          <w:p w14:paraId="50F9B210" w14:textId="0FFA0F4E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B166D">
              <w:rPr>
                <w:sz w:val="20"/>
              </w:rPr>
              <w:t>Date Scheduled</w:t>
            </w:r>
          </w:p>
        </w:tc>
        <w:tc>
          <w:tcPr>
            <w:tcW w:w="2493" w:type="dxa"/>
          </w:tcPr>
          <w:p w14:paraId="70902834" w14:textId="0245F5F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B166D">
              <w:rPr>
                <w:sz w:val="20"/>
              </w:rPr>
              <w:t>Date Sampled</w:t>
            </w:r>
          </w:p>
        </w:tc>
      </w:tr>
      <w:tr w:rsidR="00971BAE" w:rsidRPr="00AB166D" w14:paraId="66D08CFE" w14:textId="77777777" w:rsidTr="0097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B5E3529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jc w:val="center"/>
              <w:rPr>
                <w:b w:val="0"/>
                <w:sz w:val="20"/>
              </w:rPr>
            </w:pPr>
            <w:r w:rsidRPr="00AB166D">
              <w:rPr>
                <w:b w:val="0"/>
                <w:sz w:val="20"/>
              </w:rPr>
              <w:t>January – March</w:t>
            </w:r>
          </w:p>
        </w:tc>
        <w:tc>
          <w:tcPr>
            <w:tcW w:w="2493" w:type="dxa"/>
          </w:tcPr>
          <w:p w14:paraId="6CE27B74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93" w:type="dxa"/>
          </w:tcPr>
          <w:p w14:paraId="582A38C4" w14:textId="1630E589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1BAE" w:rsidRPr="00AB166D" w14:paraId="2788BDDE" w14:textId="77777777" w:rsidTr="0097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9BDEBA6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jc w:val="center"/>
              <w:rPr>
                <w:b w:val="0"/>
                <w:sz w:val="20"/>
              </w:rPr>
            </w:pPr>
            <w:r w:rsidRPr="00AB166D">
              <w:rPr>
                <w:b w:val="0"/>
                <w:sz w:val="20"/>
              </w:rPr>
              <w:t>April – June</w:t>
            </w:r>
          </w:p>
        </w:tc>
        <w:tc>
          <w:tcPr>
            <w:tcW w:w="2493" w:type="dxa"/>
          </w:tcPr>
          <w:p w14:paraId="6D5D0537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93" w:type="dxa"/>
          </w:tcPr>
          <w:p w14:paraId="3606376A" w14:textId="47A7044E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1BAE" w:rsidRPr="00AB166D" w14:paraId="546099FA" w14:textId="77777777" w:rsidTr="0097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3E8B7C1" w14:textId="77777777" w:rsidR="00971BAE" w:rsidRPr="00AB166D" w:rsidRDefault="00971BAE" w:rsidP="00971BAE">
            <w:pPr>
              <w:pStyle w:val="BodyText"/>
              <w:tabs>
                <w:tab w:val="clear" w:pos="900"/>
                <w:tab w:val="left" w:pos="1124"/>
              </w:tabs>
              <w:contextualSpacing/>
              <w:jc w:val="center"/>
              <w:rPr>
                <w:b w:val="0"/>
                <w:sz w:val="20"/>
              </w:rPr>
            </w:pPr>
            <w:r w:rsidRPr="00AB166D">
              <w:rPr>
                <w:b w:val="0"/>
                <w:sz w:val="20"/>
              </w:rPr>
              <w:t>July – September</w:t>
            </w:r>
          </w:p>
        </w:tc>
        <w:tc>
          <w:tcPr>
            <w:tcW w:w="2493" w:type="dxa"/>
          </w:tcPr>
          <w:p w14:paraId="5DED38ED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93" w:type="dxa"/>
          </w:tcPr>
          <w:p w14:paraId="51DE333D" w14:textId="249E09DD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1BAE" w:rsidRPr="00AB166D" w14:paraId="1E6F8D61" w14:textId="77777777" w:rsidTr="0097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8FFFE77" w14:textId="77777777" w:rsidR="00971BAE" w:rsidRPr="00AB166D" w:rsidRDefault="00971BAE" w:rsidP="00971BAE">
            <w:pPr>
              <w:pStyle w:val="BodyText"/>
              <w:tabs>
                <w:tab w:val="clear" w:pos="900"/>
                <w:tab w:val="left" w:pos="1124"/>
              </w:tabs>
              <w:contextualSpacing/>
              <w:jc w:val="center"/>
              <w:rPr>
                <w:b w:val="0"/>
                <w:sz w:val="20"/>
              </w:rPr>
            </w:pPr>
            <w:r w:rsidRPr="00AB166D">
              <w:rPr>
                <w:b w:val="0"/>
                <w:sz w:val="20"/>
              </w:rPr>
              <w:t>October - December</w:t>
            </w:r>
          </w:p>
        </w:tc>
        <w:tc>
          <w:tcPr>
            <w:tcW w:w="2493" w:type="dxa"/>
          </w:tcPr>
          <w:p w14:paraId="56B3011F" w14:textId="77777777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93" w:type="dxa"/>
          </w:tcPr>
          <w:p w14:paraId="2FD1CB43" w14:textId="70ADCD89" w:rsidR="00971BAE" w:rsidRPr="00AB166D" w:rsidRDefault="00971BAE" w:rsidP="00971BAE">
            <w:pPr>
              <w:pStyle w:val="BodyText"/>
              <w:tabs>
                <w:tab w:val="clear" w:pos="90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D1841A2" w14:textId="77777777" w:rsidR="00853E0B" w:rsidRPr="00AB166D" w:rsidRDefault="00853E0B" w:rsidP="00853E0B">
      <w:pPr>
        <w:pStyle w:val="BodyText"/>
        <w:tabs>
          <w:tab w:val="clear" w:pos="900"/>
        </w:tabs>
        <w:ind w:left="720"/>
        <w:contextualSpacing/>
        <w:rPr>
          <w:sz w:val="20"/>
        </w:rPr>
      </w:pPr>
    </w:p>
    <w:p w14:paraId="723C43CE" w14:textId="77777777" w:rsidR="00853E0B" w:rsidRPr="00AB166D" w:rsidRDefault="00853E0B" w:rsidP="00853E0B">
      <w:pPr>
        <w:pStyle w:val="BodyText"/>
        <w:tabs>
          <w:tab w:val="clear" w:pos="900"/>
        </w:tabs>
        <w:ind w:left="720"/>
        <w:contextualSpacing/>
        <w:rPr>
          <w:sz w:val="20"/>
        </w:rPr>
      </w:pPr>
    </w:p>
    <w:p w14:paraId="3B028EE3" w14:textId="7444E384" w:rsidR="00AB166D" w:rsidRDefault="00AB166D" w:rsidP="00AB166D">
      <w:pPr>
        <w:pStyle w:val="BodyText"/>
        <w:tabs>
          <w:tab w:val="clear" w:pos="900"/>
        </w:tabs>
        <w:ind w:left="720"/>
        <w:contextualSpacing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02324A3D" w14:textId="5E4FEB4B" w:rsidR="00853E0B" w:rsidRPr="00AB166D" w:rsidRDefault="00853E0B" w:rsidP="00A252A8">
      <w:pPr>
        <w:pStyle w:val="BodyText"/>
        <w:numPr>
          <w:ilvl w:val="0"/>
          <w:numId w:val="4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Systems </w:t>
      </w:r>
      <w:r w:rsidRPr="00AB166D">
        <w:rPr>
          <w:i/>
          <w:sz w:val="20"/>
        </w:rPr>
        <w:t>over</w:t>
      </w:r>
      <w:r w:rsidRPr="00AB166D">
        <w:rPr>
          <w:sz w:val="20"/>
        </w:rPr>
        <w:t xml:space="preserve"> 1,000 population must sample </w:t>
      </w:r>
      <w:r w:rsidRPr="00AB166D">
        <w:rPr>
          <w:i/>
          <w:sz w:val="20"/>
        </w:rPr>
        <w:t>monthly</w:t>
      </w:r>
      <w:r w:rsidRPr="00AB166D">
        <w:rPr>
          <w:sz w:val="20"/>
        </w:rPr>
        <w:t>.  The minimum number of</w:t>
      </w:r>
      <w:r w:rsidR="000D09BF" w:rsidRPr="00AB166D">
        <w:rPr>
          <w:sz w:val="20"/>
        </w:rPr>
        <w:t xml:space="preserve"> distribution samples is based on population and available in 141.857 Code of Federal Regulations, available at </w:t>
      </w:r>
      <w:hyperlink r:id="rId9" w:history="1">
        <w:r w:rsidR="000D09BF" w:rsidRPr="00AB166D">
          <w:rPr>
            <w:rStyle w:val="Hyperlink"/>
            <w:sz w:val="20"/>
          </w:rPr>
          <w:t>CFR Subpart Y - Revised Total Coliform Rule</w:t>
        </w:r>
      </w:hyperlink>
      <w:r w:rsidR="000D09BF" w:rsidRPr="00AB166D">
        <w:rPr>
          <w:sz w:val="20"/>
        </w:rPr>
        <w:t>.</w:t>
      </w:r>
      <w:r w:rsidRPr="00AB166D">
        <w:rPr>
          <w:sz w:val="20"/>
        </w:rPr>
        <w:t xml:space="preserve"> </w:t>
      </w:r>
      <w:r w:rsidR="00974A54" w:rsidRPr="00AB166D">
        <w:rPr>
          <w:sz w:val="20"/>
        </w:rPr>
        <w:t>A sample from each well must be collected under the Ground Water Rule.</w:t>
      </w:r>
    </w:p>
    <w:p w14:paraId="7E55C926" w14:textId="1818A1EE" w:rsidR="00446CB9" w:rsidRPr="00AB166D" w:rsidRDefault="00A431F0" w:rsidP="00202EC1">
      <w:pPr>
        <w:pStyle w:val="BodyText"/>
        <w:numPr>
          <w:ilvl w:val="0"/>
          <w:numId w:val="4"/>
        </w:numPr>
        <w:tabs>
          <w:tab w:val="clear" w:pos="900"/>
        </w:tabs>
        <w:contextualSpacing/>
        <w:rPr>
          <w:b/>
          <w:sz w:val="20"/>
        </w:rPr>
      </w:pPr>
      <w:r w:rsidRPr="00AB166D">
        <w:rPr>
          <w:sz w:val="20"/>
        </w:rPr>
        <w:t>Contact our office immediately i</w:t>
      </w:r>
      <w:r w:rsidR="00013556" w:rsidRPr="00AB166D">
        <w:rPr>
          <w:sz w:val="20"/>
        </w:rPr>
        <w:t xml:space="preserve">f the reporting form indicates a positive result or presence of bacteria (shown as </w:t>
      </w:r>
      <w:r w:rsidRPr="00AB166D">
        <w:rPr>
          <w:sz w:val="20"/>
        </w:rPr>
        <w:t>“</w:t>
      </w:r>
      <w:r w:rsidR="00013556" w:rsidRPr="00AB166D">
        <w:rPr>
          <w:sz w:val="20"/>
        </w:rPr>
        <w:t>P</w:t>
      </w:r>
      <w:r w:rsidRPr="00AB166D">
        <w:rPr>
          <w:sz w:val="20"/>
        </w:rPr>
        <w:t>”</w:t>
      </w:r>
      <w:r w:rsidR="00013556" w:rsidRPr="00AB166D">
        <w:rPr>
          <w:sz w:val="20"/>
        </w:rPr>
        <w:t xml:space="preserve"> on the form)</w:t>
      </w:r>
      <w:r w:rsidR="00AB166D">
        <w:rPr>
          <w:sz w:val="20"/>
        </w:rPr>
        <w:t xml:space="preserve"> for both total coliform </w:t>
      </w:r>
      <w:proofErr w:type="gramStart"/>
      <w:r w:rsidR="00AB166D">
        <w:rPr>
          <w:sz w:val="20"/>
        </w:rPr>
        <w:t>OR</w:t>
      </w:r>
      <w:proofErr w:type="gramEnd"/>
      <w:r w:rsidR="00AB166D">
        <w:rPr>
          <w:sz w:val="20"/>
        </w:rPr>
        <w:t xml:space="preserve"> e.coli.  An e.coli positive on a bacteriological report may require </w:t>
      </w:r>
      <w:r w:rsidR="00AB166D" w:rsidRPr="00AB166D">
        <w:rPr>
          <w:sz w:val="20"/>
          <w:u w:val="single"/>
        </w:rPr>
        <w:t>immediate action</w:t>
      </w:r>
      <w:r w:rsidR="00AB166D">
        <w:rPr>
          <w:sz w:val="20"/>
        </w:rPr>
        <w:t>.</w:t>
      </w:r>
    </w:p>
    <w:p w14:paraId="3467EA14" w14:textId="6BFD2B32" w:rsidR="00A71B68" w:rsidRPr="00AB166D" w:rsidRDefault="00A71B68" w:rsidP="00202EC1">
      <w:pPr>
        <w:pStyle w:val="BodyText"/>
        <w:numPr>
          <w:ilvl w:val="0"/>
          <w:numId w:val="4"/>
        </w:numPr>
        <w:tabs>
          <w:tab w:val="clear" w:pos="900"/>
        </w:tabs>
        <w:contextualSpacing/>
        <w:rPr>
          <w:b/>
          <w:bCs/>
          <w:sz w:val="20"/>
        </w:rPr>
      </w:pPr>
      <w:r w:rsidRPr="00AB166D">
        <w:rPr>
          <w:b/>
          <w:bCs/>
          <w:color w:val="FF0000"/>
          <w:sz w:val="20"/>
        </w:rPr>
        <w:t xml:space="preserve">If you were informed by the Department that your system has been increased to monthly </w:t>
      </w:r>
      <w:r w:rsidR="004E2AF0">
        <w:rPr>
          <w:b/>
          <w:bCs/>
          <w:color w:val="FF0000"/>
          <w:sz w:val="20"/>
        </w:rPr>
        <w:t xml:space="preserve">bacteriological </w:t>
      </w:r>
      <w:r w:rsidRPr="00AB166D">
        <w:rPr>
          <w:b/>
          <w:bCs/>
          <w:color w:val="FF0000"/>
          <w:sz w:val="20"/>
        </w:rPr>
        <w:t xml:space="preserve">monitoring </w:t>
      </w:r>
      <w:r w:rsidR="00AB166D" w:rsidRPr="00AB166D">
        <w:rPr>
          <w:b/>
          <w:bCs/>
          <w:color w:val="FF0000"/>
          <w:sz w:val="20"/>
        </w:rPr>
        <w:t xml:space="preserve">from quarterly </w:t>
      </w:r>
      <w:r w:rsidRPr="00AB166D">
        <w:rPr>
          <w:b/>
          <w:bCs/>
          <w:color w:val="FF0000"/>
          <w:sz w:val="20"/>
        </w:rPr>
        <w:t>due to noncompliance</w:t>
      </w:r>
      <w:r w:rsidR="00AB166D" w:rsidRPr="00AB166D">
        <w:rPr>
          <w:b/>
          <w:bCs/>
          <w:color w:val="FF0000"/>
          <w:sz w:val="20"/>
        </w:rPr>
        <w:t xml:space="preserve"> you </w:t>
      </w:r>
      <w:r w:rsidR="004E2AF0">
        <w:rPr>
          <w:b/>
          <w:bCs/>
          <w:color w:val="FF0000"/>
          <w:sz w:val="20"/>
        </w:rPr>
        <w:t>may</w:t>
      </w:r>
      <w:r w:rsidR="00AB166D" w:rsidRPr="00AB166D">
        <w:rPr>
          <w:b/>
          <w:bCs/>
          <w:color w:val="FF0000"/>
          <w:sz w:val="20"/>
        </w:rPr>
        <w:t xml:space="preserve"> request a return to quarterly monitoring after completing 12 consecutive months of monthly sampling. </w:t>
      </w:r>
    </w:p>
    <w:p w14:paraId="0969CD63" w14:textId="77777777" w:rsidR="00446CB9" w:rsidRPr="00AB166D" w:rsidRDefault="00446CB9" w:rsidP="00446CB9">
      <w:pPr>
        <w:pStyle w:val="BodyText"/>
        <w:tabs>
          <w:tab w:val="clear" w:pos="900"/>
        </w:tabs>
        <w:contextualSpacing/>
        <w:rPr>
          <w:b/>
          <w:sz w:val="20"/>
        </w:rPr>
      </w:pPr>
    </w:p>
    <w:p w14:paraId="2888F8AB" w14:textId="65B75964" w:rsidR="00013556" w:rsidRPr="00AB166D" w:rsidRDefault="00013556" w:rsidP="00013556">
      <w:pPr>
        <w:pStyle w:val="BodyText"/>
        <w:tabs>
          <w:tab w:val="clear" w:pos="900"/>
        </w:tabs>
        <w:contextualSpacing/>
        <w:rPr>
          <w:b/>
          <w:sz w:val="20"/>
          <w:u w:val="single"/>
        </w:rPr>
      </w:pPr>
      <w:r w:rsidRPr="00AB166D">
        <w:rPr>
          <w:b/>
          <w:sz w:val="20"/>
          <w:u w:val="single"/>
        </w:rPr>
        <w:t>Chemical Monitoring</w:t>
      </w:r>
    </w:p>
    <w:p w14:paraId="29B87437" w14:textId="40EA827F" w:rsidR="00013556" w:rsidRPr="00AB166D" w:rsidRDefault="00013556" w:rsidP="00013556">
      <w:pPr>
        <w:pStyle w:val="BodyText"/>
        <w:numPr>
          <w:ilvl w:val="0"/>
          <w:numId w:val="5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Required per Rule 62-550.</w:t>
      </w:r>
      <w:r w:rsidR="00A431F0" w:rsidRPr="00AB166D">
        <w:rPr>
          <w:sz w:val="20"/>
        </w:rPr>
        <w:t>5</w:t>
      </w:r>
      <w:r w:rsidRPr="00AB166D">
        <w:rPr>
          <w:sz w:val="20"/>
        </w:rPr>
        <w:t>12, Fla. Admin. Code.</w:t>
      </w:r>
    </w:p>
    <w:p w14:paraId="4AD0E2B4" w14:textId="50476879" w:rsidR="00013556" w:rsidRPr="00AB166D" w:rsidRDefault="00013556" w:rsidP="00013556">
      <w:pPr>
        <w:pStyle w:val="BodyText"/>
        <w:numPr>
          <w:ilvl w:val="0"/>
          <w:numId w:val="5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Sample for </w:t>
      </w:r>
      <w:r w:rsidR="00A431F0" w:rsidRPr="00AB166D">
        <w:rPr>
          <w:sz w:val="20"/>
        </w:rPr>
        <w:t>N</w:t>
      </w:r>
      <w:r w:rsidRPr="00AB166D">
        <w:rPr>
          <w:sz w:val="20"/>
        </w:rPr>
        <w:t xml:space="preserve">itrate and </w:t>
      </w:r>
      <w:r w:rsidR="00A431F0" w:rsidRPr="00AB166D">
        <w:rPr>
          <w:sz w:val="20"/>
        </w:rPr>
        <w:t>N</w:t>
      </w:r>
      <w:r w:rsidRPr="00AB166D">
        <w:rPr>
          <w:sz w:val="20"/>
        </w:rPr>
        <w:t>itrite annually.</w:t>
      </w:r>
    </w:p>
    <w:p w14:paraId="3324CBC1" w14:textId="6B780B83" w:rsidR="00A431F0" w:rsidRPr="00AB166D" w:rsidRDefault="00013556" w:rsidP="00A431F0">
      <w:pPr>
        <w:pStyle w:val="BodyText"/>
        <w:numPr>
          <w:ilvl w:val="0"/>
          <w:numId w:val="5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Quarterly monitoring </w:t>
      </w:r>
      <w:r w:rsidR="00A431F0" w:rsidRPr="00AB166D">
        <w:rPr>
          <w:sz w:val="20"/>
        </w:rPr>
        <w:t>is</w:t>
      </w:r>
      <w:r w:rsidRPr="00AB166D">
        <w:rPr>
          <w:sz w:val="20"/>
        </w:rPr>
        <w:t xml:space="preserve"> required if </w:t>
      </w:r>
      <w:r w:rsidR="00A431F0" w:rsidRPr="00AB166D">
        <w:rPr>
          <w:sz w:val="20"/>
        </w:rPr>
        <w:t xml:space="preserve">result exceeds the maximum contaminant levels (MCL) for Nitrate, which are 10 milligrams per Liter (mg/L), </w:t>
      </w:r>
      <w:r w:rsidR="00061CC1" w:rsidRPr="00AB166D">
        <w:rPr>
          <w:sz w:val="20"/>
        </w:rPr>
        <w:t>and/</w:t>
      </w:r>
      <w:r w:rsidR="00A431F0" w:rsidRPr="00AB166D">
        <w:rPr>
          <w:sz w:val="20"/>
        </w:rPr>
        <w:t xml:space="preserve">or exceeds half the MCL for Nitrite, which would be any result greater than </w:t>
      </w:r>
      <w:r w:rsidRPr="00AB166D">
        <w:rPr>
          <w:sz w:val="20"/>
        </w:rPr>
        <w:t>0.5 mg/L</w:t>
      </w:r>
      <w:r w:rsidR="00A431F0" w:rsidRPr="00AB166D">
        <w:rPr>
          <w:sz w:val="20"/>
        </w:rPr>
        <w:t>.</w:t>
      </w:r>
    </w:p>
    <w:p w14:paraId="27EBF599" w14:textId="6734CC89" w:rsidR="00715DE6" w:rsidRPr="00AB166D" w:rsidRDefault="00013556" w:rsidP="00715DE6">
      <w:pPr>
        <w:pStyle w:val="BodyText"/>
        <w:numPr>
          <w:ilvl w:val="0"/>
          <w:numId w:val="5"/>
        </w:numPr>
        <w:tabs>
          <w:tab w:val="clear" w:pos="900"/>
        </w:tabs>
        <w:contextualSpacing/>
        <w:rPr>
          <w:sz w:val="20"/>
        </w:rPr>
      </w:pPr>
      <w:r w:rsidRPr="00AB166D">
        <w:rPr>
          <w:b/>
          <w:sz w:val="20"/>
        </w:rPr>
        <w:t xml:space="preserve">Sample at </w:t>
      </w:r>
      <w:r w:rsidRPr="00AB166D">
        <w:rPr>
          <w:b/>
          <w:sz w:val="20"/>
          <w:u w:val="single"/>
        </w:rPr>
        <w:t>each</w:t>
      </w:r>
      <w:r w:rsidRPr="00AB166D">
        <w:rPr>
          <w:b/>
          <w:sz w:val="20"/>
        </w:rPr>
        <w:t xml:space="preserve"> Point of Entry to the distribution</w:t>
      </w:r>
      <w:r w:rsidR="000F18AD" w:rsidRPr="00AB166D">
        <w:rPr>
          <w:b/>
          <w:sz w:val="20"/>
        </w:rPr>
        <w:t xml:space="preserve">. </w:t>
      </w:r>
      <w:r w:rsidR="000F18AD" w:rsidRPr="00AB166D">
        <w:rPr>
          <w:sz w:val="20"/>
        </w:rPr>
        <w:t xml:space="preserve">This is </w:t>
      </w:r>
      <w:r w:rsidRPr="00AB166D">
        <w:rPr>
          <w:sz w:val="20"/>
        </w:rPr>
        <w:t xml:space="preserve">the </w:t>
      </w:r>
      <w:r w:rsidR="00271149" w:rsidRPr="00AB166D">
        <w:rPr>
          <w:sz w:val="20"/>
        </w:rPr>
        <w:t xml:space="preserve">last plant tap before the pipe </w:t>
      </w:r>
      <w:r w:rsidR="00A431F0" w:rsidRPr="00AB166D">
        <w:rPr>
          <w:sz w:val="20"/>
        </w:rPr>
        <w:t>goes underground to the distribution</w:t>
      </w:r>
      <w:r w:rsidR="000F18AD" w:rsidRPr="00AB166D">
        <w:rPr>
          <w:sz w:val="20"/>
        </w:rPr>
        <w:t xml:space="preserve"> </w:t>
      </w:r>
      <w:proofErr w:type="gramStart"/>
      <w:r w:rsidR="000F18AD" w:rsidRPr="00AB166D">
        <w:rPr>
          <w:sz w:val="20"/>
        </w:rPr>
        <w:t>and also</w:t>
      </w:r>
      <w:proofErr w:type="gramEnd"/>
      <w:r w:rsidR="000F18AD" w:rsidRPr="00AB166D">
        <w:rPr>
          <w:sz w:val="20"/>
        </w:rPr>
        <w:t xml:space="preserve"> </w:t>
      </w:r>
      <w:r w:rsidR="00A431F0" w:rsidRPr="00AB166D">
        <w:rPr>
          <w:sz w:val="20"/>
        </w:rPr>
        <w:t xml:space="preserve">called the entry point to distribution.  This location is required </w:t>
      </w:r>
      <w:r w:rsidR="000F18AD" w:rsidRPr="00AB166D">
        <w:rPr>
          <w:sz w:val="20"/>
        </w:rPr>
        <w:t>because</w:t>
      </w:r>
      <w:r w:rsidR="00A431F0" w:rsidRPr="00AB166D">
        <w:rPr>
          <w:sz w:val="20"/>
        </w:rPr>
        <w:t xml:space="preserve"> the sample is collected after the water has been treated and is representative of what the customers receive.  </w:t>
      </w:r>
      <w:r w:rsidR="00760AB0" w:rsidRPr="00AB166D">
        <w:rPr>
          <w:b/>
          <w:bCs/>
          <w:sz w:val="20"/>
        </w:rPr>
        <w:t>Samples from the raw or untreated tap</w:t>
      </w:r>
      <w:r w:rsidR="00AB166D" w:rsidRPr="00AB166D">
        <w:rPr>
          <w:b/>
          <w:bCs/>
          <w:sz w:val="20"/>
        </w:rPr>
        <w:t xml:space="preserve"> (well tap)</w:t>
      </w:r>
      <w:r w:rsidR="00760AB0" w:rsidRPr="00AB166D">
        <w:rPr>
          <w:b/>
          <w:bCs/>
          <w:sz w:val="20"/>
        </w:rPr>
        <w:t xml:space="preserve"> will </w:t>
      </w:r>
      <w:r w:rsidR="00760AB0" w:rsidRPr="00AB166D">
        <w:rPr>
          <w:b/>
          <w:bCs/>
          <w:i/>
          <w:sz w:val="20"/>
        </w:rPr>
        <w:t>not</w:t>
      </w:r>
      <w:r w:rsidR="00760AB0" w:rsidRPr="00AB166D">
        <w:rPr>
          <w:b/>
          <w:bCs/>
          <w:sz w:val="20"/>
        </w:rPr>
        <w:t xml:space="preserve"> be accepted for compliance.</w:t>
      </w:r>
    </w:p>
    <w:p w14:paraId="0CD98E6F" w14:textId="72548FB3" w:rsidR="00013556" w:rsidRPr="00AB166D" w:rsidRDefault="00271149" w:rsidP="00D81159">
      <w:pPr>
        <w:pStyle w:val="BodyText"/>
        <w:numPr>
          <w:ilvl w:val="0"/>
          <w:numId w:val="5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We recommend collecting annual </w:t>
      </w:r>
      <w:r w:rsidR="00013556" w:rsidRPr="00AB166D">
        <w:rPr>
          <w:sz w:val="20"/>
        </w:rPr>
        <w:t xml:space="preserve">samples by </w:t>
      </w:r>
      <w:r w:rsidR="00013556" w:rsidRPr="00AB166D">
        <w:rPr>
          <w:i/>
          <w:sz w:val="20"/>
        </w:rPr>
        <w:t>June 30</w:t>
      </w:r>
      <w:r w:rsidR="00013556" w:rsidRPr="00AB166D">
        <w:rPr>
          <w:sz w:val="20"/>
        </w:rPr>
        <w:t>.</w:t>
      </w:r>
      <w:r w:rsidRPr="00AB166D">
        <w:rPr>
          <w:sz w:val="20"/>
        </w:rPr>
        <w:t xml:space="preserve">  </w:t>
      </w:r>
      <w:r w:rsidR="00715DE6" w:rsidRPr="00AB166D">
        <w:rPr>
          <w:sz w:val="20"/>
        </w:rPr>
        <w:t>If an e</w:t>
      </w:r>
      <w:r w:rsidR="00A17F82" w:rsidRPr="00AB166D">
        <w:rPr>
          <w:sz w:val="20"/>
        </w:rPr>
        <w:t>rror</w:t>
      </w:r>
      <w:r w:rsidR="00715DE6" w:rsidRPr="00AB166D">
        <w:rPr>
          <w:sz w:val="20"/>
        </w:rPr>
        <w:t xml:space="preserve"> occurs in sampling near the end of the year, there may not be enough time to resample.  </w:t>
      </w:r>
      <w:r w:rsidR="00715DE6" w:rsidRPr="00AB166D">
        <w:rPr>
          <w:b/>
          <w:sz w:val="20"/>
        </w:rPr>
        <w:t xml:space="preserve">All samples must be taken during the required monitoring period </w:t>
      </w:r>
      <w:r w:rsidR="00715DE6" w:rsidRPr="00AB166D">
        <w:rPr>
          <w:b/>
          <w:sz w:val="20"/>
          <w:u w:val="single"/>
        </w:rPr>
        <w:t>and</w:t>
      </w:r>
      <w:r w:rsidR="00715DE6" w:rsidRPr="00AB166D">
        <w:rPr>
          <w:b/>
          <w:sz w:val="20"/>
        </w:rPr>
        <w:t xml:space="preserve"> from the correct location(s) to be accepted for compliance.</w:t>
      </w:r>
    </w:p>
    <w:p w14:paraId="3119C7CE" w14:textId="77777777" w:rsidR="00715DE6" w:rsidRPr="00AB166D" w:rsidRDefault="00715DE6" w:rsidP="00715DE6">
      <w:pPr>
        <w:pStyle w:val="BodyText"/>
        <w:tabs>
          <w:tab w:val="clear" w:pos="900"/>
        </w:tabs>
        <w:ind w:left="720"/>
        <w:contextualSpacing/>
        <w:rPr>
          <w:sz w:val="20"/>
        </w:rPr>
      </w:pPr>
    </w:p>
    <w:p w14:paraId="4FCB6C61" w14:textId="08E92087" w:rsidR="00013556" w:rsidRPr="00AB166D" w:rsidRDefault="00A431F0" w:rsidP="001719BA">
      <w:pPr>
        <w:pStyle w:val="BodyText"/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Important</w:t>
      </w:r>
      <w:r w:rsidR="00013556" w:rsidRPr="00AB166D">
        <w:rPr>
          <w:sz w:val="20"/>
        </w:rPr>
        <w:t xml:space="preserve"> Notes:</w:t>
      </w:r>
    </w:p>
    <w:p w14:paraId="361A45FA" w14:textId="77777777" w:rsidR="00607BDC" w:rsidRPr="00AB166D" w:rsidRDefault="00607BDC" w:rsidP="00607BDC">
      <w:pPr>
        <w:pStyle w:val="BodyText"/>
        <w:numPr>
          <w:ilvl w:val="0"/>
          <w:numId w:val="3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Please take samples early in the monitoring period to allow for possible lab delays and unforeseen events.</w:t>
      </w:r>
    </w:p>
    <w:p w14:paraId="7ABC3F28" w14:textId="21ECD98C" w:rsidR="00BC1BBF" w:rsidRPr="00AB166D" w:rsidRDefault="00607BDC" w:rsidP="00C029C5">
      <w:pPr>
        <w:pStyle w:val="BodyText"/>
        <w:numPr>
          <w:ilvl w:val="0"/>
          <w:numId w:val="3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Reports must include </w:t>
      </w:r>
      <w:r w:rsidR="00AB166D">
        <w:rPr>
          <w:sz w:val="20"/>
        </w:rPr>
        <w:t>sampling</w:t>
      </w:r>
      <w:r w:rsidR="001915BE" w:rsidRPr="00AB166D">
        <w:rPr>
          <w:sz w:val="20"/>
        </w:rPr>
        <w:t xml:space="preserve"> </w:t>
      </w:r>
      <w:r w:rsidRPr="00AB166D">
        <w:rPr>
          <w:sz w:val="20"/>
        </w:rPr>
        <w:t xml:space="preserve">cover </w:t>
      </w:r>
      <w:r w:rsidR="001915BE" w:rsidRPr="00AB166D">
        <w:rPr>
          <w:sz w:val="20"/>
        </w:rPr>
        <w:t>page, lab cover page,</w:t>
      </w:r>
      <w:r w:rsidRPr="00AB166D">
        <w:rPr>
          <w:sz w:val="20"/>
        </w:rPr>
        <w:t xml:space="preserve"> chains of custody, results page, and lab certification pages.</w:t>
      </w:r>
      <w:r w:rsidR="00C029C5" w:rsidRPr="00AB166D">
        <w:rPr>
          <w:sz w:val="20"/>
        </w:rPr>
        <w:t xml:space="preserve"> </w:t>
      </w:r>
      <w:r w:rsidR="00AB166D">
        <w:rPr>
          <w:sz w:val="20"/>
        </w:rPr>
        <w:t xml:space="preserve">All included pages </w:t>
      </w:r>
      <w:r w:rsidR="00AB166D">
        <w:rPr>
          <w:b/>
          <w:bCs/>
          <w:sz w:val="20"/>
        </w:rPr>
        <w:t>must be completed and signed where appropriate.</w:t>
      </w:r>
    </w:p>
    <w:p w14:paraId="41AD166F" w14:textId="2F7A19E2" w:rsidR="00607BDC" w:rsidRPr="00AB166D" w:rsidRDefault="00BC1BBF" w:rsidP="00C029C5">
      <w:pPr>
        <w:pStyle w:val="BodyText"/>
        <w:numPr>
          <w:ilvl w:val="0"/>
          <w:numId w:val="3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All drinking water forms and </w:t>
      </w:r>
      <w:r w:rsidR="00A17F82" w:rsidRPr="00AB166D">
        <w:rPr>
          <w:sz w:val="20"/>
        </w:rPr>
        <w:t xml:space="preserve">required </w:t>
      </w:r>
      <w:r w:rsidRPr="00AB166D">
        <w:rPr>
          <w:sz w:val="20"/>
        </w:rPr>
        <w:t>r</w:t>
      </w:r>
      <w:r w:rsidR="00C029C5" w:rsidRPr="00AB166D">
        <w:rPr>
          <w:sz w:val="20"/>
        </w:rPr>
        <w:t xml:space="preserve">eporting formats are available at </w:t>
      </w:r>
      <w:hyperlink r:id="rId10" w:history="1">
        <w:r w:rsidR="00C029C5" w:rsidRPr="00AB166D">
          <w:rPr>
            <w:rStyle w:val="Hyperlink"/>
            <w:sz w:val="20"/>
          </w:rPr>
          <w:t>http://dep.state.fl.</w:t>
        </w:r>
        <w:r w:rsidR="00C029C5" w:rsidRPr="00AB166D">
          <w:rPr>
            <w:rStyle w:val="Hyperlink"/>
            <w:sz w:val="20"/>
          </w:rPr>
          <w:t>u</w:t>
        </w:r>
        <w:r w:rsidR="00C029C5" w:rsidRPr="00AB166D">
          <w:rPr>
            <w:rStyle w:val="Hyperlink"/>
            <w:sz w:val="20"/>
          </w:rPr>
          <w:t>s/water/drinkingwater/forms.htm</w:t>
        </w:r>
      </w:hyperlink>
      <w:r w:rsidR="00C029C5" w:rsidRPr="00AB166D">
        <w:rPr>
          <w:sz w:val="20"/>
        </w:rPr>
        <w:t xml:space="preserve">. </w:t>
      </w:r>
    </w:p>
    <w:p w14:paraId="0271B996" w14:textId="0BE0D7CB" w:rsidR="00607BDC" w:rsidRPr="00AB166D" w:rsidRDefault="00607BDC" w:rsidP="00BE0AC5">
      <w:pPr>
        <w:pStyle w:val="BodyText"/>
        <w:numPr>
          <w:ilvl w:val="0"/>
          <w:numId w:val="3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>Reports are due</w:t>
      </w:r>
      <w:r w:rsidR="00285668" w:rsidRPr="00AB166D">
        <w:rPr>
          <w:sz w:val="20"/>
        </w:rPr>
        <w:t xml:space="preserve"> to</w:t>
      </w:r>
      <w:r w:rsidRPr="00AB166D">
        <w:rPr>
          <w:sz w:val="20"/>
        </w:rPr>
        <w:t xml:space="preserve"> the Department </w:t>
      </w:r>
      <w:r w:rsidRPr="00AB166D">
        <w:rPr>
          <w:bCs/>
          <w:i/>
          <w:iCs/>
          <w:sz w:val="20"/>
        </w:rPr>
        <w:t>within 10 days</w:t>
      </w:r>
      <w:r w:rsidRPr="00AB166D">
        <w:rPr>
          <w:sz w:val="20"/>
        </w:rPr>
        <w:t xml:space="preserve"> following the end of sample period </w:t>
      </w:r>
      <w:r w:rsidRPr="00AB166D">
        <w:rPr>
          <w:sz w:val="20"/>
          <w:u w:val="single"/>
        </w:rPr>
        <w:t>or</w:t>
      </w:r>
      <w:r w:rsidRPr="00AB166D">
        <w:rPr>
          <w:sz w:val="20"/>
        </w:rPr>
        <w:t xml:space="preserve"> following your receipt of the laboratory report, whichever time is less.</w:t>
      </w:r>
      <w:r w:rsidR="007701C1" w:rsidRPr="00AB166D">
        <w:rPr>
          <w:sz w:val="20"/>
        </w:rPr>
        <w:t xml:space="preserve"> </w:t>
      </w:r>
      <w:r w:rsidR="001915BE" w:rsidRPr="00AB166D">
        <w:rPr>
          <w:sz w:val="20"/>
        </w:rPr>
        <w:t xml:space="preserve">We recommend submitting reports as soon as available.  </w:t>
      </w:r>
      <w:r w:rsidRPr="00AB166D">
        <w:rPr>
          <w:sz w:val="20"/>
        </w:rPr>
        <w:t xml:space="preserve">Do </w:t>
      </w:r>
      <w:r w:rsidRPr="00AB166D">
        <w:rPr>
          <w:b/>
          <w:sz w:val="20"/>
        </w:rPr>
        <w:t>not</w:t>
      </w:r>
      <w:r w:rsidRPr="00AB166D">
        <w:rPr>
          <w:sz w:val="20"/>
        </w:rPr>
        <w:t xml:space="preserve"> rely on the laboratory to submit monitoring results to the Department.</w:t>
      </w:r>
    </w:p>
    <w:p w14:paraId="2A48F72B" w14:textId="7861676C" w:rsidR="00D52966" w:rsidRPr="00AB166D" w:rsidRDefault="00D60874" w:rsidP="00BE0AC5">
      <w:pPr>
        <w:pStyle w:val="BodyText"/>
        <w:numPr>
          <w:ilvl w:val="0"/>
          <w:numId w:val="3"/>
        </w:numPr>
        <w:tabs>
          <w:tab w:val="clear" w:pos="900"/>
        </w:tabs>
        <w:contextualSpacing/>
        <w:rPr>
          <w:sz w:val="20"/>
        </w:rPr>
      </w:pPr>
      <w:r w:rsidRPr="00AB166D">
        <w:rPr>
          <w:sz w:val="20"/>
        </w:rPr>
        <w:t xml:space="preserve">Failure to sample </w:t>
      </w:r>
      <w:r w:rsidR="001915BE" w:rsidRPr="00AB166D">
        <w:rPr>
          <w:sz w:val="20"/>
        </w:rPr>
        <w:t>in accordance with rule requirements</w:t>
      </w:r>
      <w:r w:rsidRPr="00AB166D">
        <w:rPr>
          <w:sz w:val="20"/>
        </w:rPr>
        <w:t xml:space="preserve"> may result in enforcement action.</w:t>
      </w:r>
    </w:p>
    <w:sectPr w:rsidR="00D52966" w:rsidRPr="00AB166D" w:rsidSect="00400604">
      <w:headerReference w:type="first" r:id="rId11"/>
      <w:pgSz w:w="12240" w:h="15840" w:code="1"/>
      <w:pgMar w:top="727" w:right="810" w:bottom="0" w:left="720" w:header="44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1136" w14:textId="77777777" w:rsidR="00D81159" w:rsidRDefault="00D81159">
      <w:r>
        <w:separator/>
      </w:r>
    </w:p>
  </w:endnote>
  <w:endnote w:type="continuationSeparator" w:id="0">
    <w:p w14:paraId="30A82318" w14:textId="77777777" w:rsidR="00D81159" w:rsidRDefault="00D8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1F70" w14:textId="77777777" w:rsidR="00D81159" w:rsidRDefault="00D81159">
      <w:r>
        <w:separator/>
      </w:r>
    </w:p>
  </w:footnote>
  <w:footnote w:type="continuationSeparator" w:id="0">
    <w:p w14:paraId="26E6BB13" w14:textId="77777777" w:rsidR="00D81159" w:rsidRDefault="00D8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60" w:type="dxa"/>
      <w:jc w:val="center"/>
      <w:tblLook w:val="04A0" w:firstRow="1" w:lastRow="0" w:firstColumn="1" w:lastColumn="0" w:noHBand="0" w:noVBand="1"/>
    </w:tblPr>
    <w:tblGrid>
      <w:gridCol w:w="1620"/>
      <w:gridCol w:w="9540"/>
    </w:tblGrid>
    <w:tr w:rsidR="00D81159" w14:paraId="64E7F1E1" w14:textId="77777777" w:rsidTr="00AB166D">
      <w:trPr>
        <w:trHeight w:val="990"/>
        <w:jc w:val="center"/>
      </w:trPr>
      <w:tc>
        <w:tcPr>
          <w:tcW w:w="1620" w:type="dxa"/>
        </w:tcPr>
        <w:p w14:paraId="156E0723" w14:textId="16E0E3DD" w:rsidR="00D81159" w:rsidRDefault="005B625F" w:rsidP="00D96C63">
          <w:pPr>
            <w:pStyle w:val="Header"/>
            <w:tabs>
              <w:tab w:val="clear" w:pos="4320"/>
              <w:tab w:val="clear" w:pos="8640"/>
              <w:tab w:val="left" w:pos="3458"/>
            </w:tabs>
          </w:pPr>
          <w:r>
            <w:rPr>
              <w:noProof/>
            </w:rPr>
            <w:t xml:space="preserve"> </w:t>
          </w:r>
          <w:r w:rsidR="00787DCD">
            <w:rPr>
              <w:noProof/>
            </w:rPr>
            <w:drawing>
              <wp:inline distT="0" distB="0" distL="0" distR="0" wp14:anchorId="4C924CBB" wp14:editId="654BF6DB">
                <wp:extent cx="700965" cy="724205"/>
                <wp:effectExtent l="0" t="0" r="4445" b="0"/>
                <wp:docPr id="1" name="Picture 1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14" cy="737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vAlign w:val="center"/>
        </w:tcPr>
        <w:p w14:paraId="27E8607A" w14:textId="77777777" w:rsidR="00D81159" w:rsidRDefault="00D81159" w:rsidP="00D96C63">
          <w:pPr>
            <w:pStyle w:val="Header"/>
            <w:jc w:val="center"/>
          </w:pPr>
        </w:p>
        <w:p w14:paraId="0096C088" w14:textId="69FADE27" w:rsidR="00D81159" w:rsidRPr="00D96C63" w:rsidRDefault="00787DCD" w:rsidP="00787DCD">
          <w:pPr>
            <w:spacing w:line="120" w:lineRule="atLeast"/>
            <w:rPr>
              <w:b/>
              <w:sz w:val="28"/>
              <w:szCs w:val="28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Florida Department of</w:t>
          </w:r>
          <w:r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AB166D">
            <w:rPr>
              <w:rFonts w:ascii="Franklin Gothic Demi Cond" w:eastAsia="Adobe Fan Heiti Std B" w:hAnsi="Franklin Gothic Demi Cond" w:cs="Tahoma"/>
              <w:b/>
              <w:color w:val="435132"/>
              <w:sz w:val="40"/>
              <w:szCs w:val="40"/>
            </w:rPr>
            <w:t>ENVIRONMENTAL PROTECTION</w:t>
          </w:r>
        </w:p>
        <w:p w14:paraId="39149013" w14:textId="287385E1" w:rsidR="00D81159" w:rsidRDefault="00787DCD" w:rsidP="00D96C63">
          <w:pPr>
            <w:pStyle w:val="Header"/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Northeast District</w:t>
          </w:r>
        </w:p>
      </w:tc>
    </w:tr>
  </w:tbl>
  <w:p w14:paraId="4A1C73F3" w14:textId="3264BEDB" w:rsidR="00D81159" w:rsidRDefault="00D81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4E5"/>
    <w:multiLevelType w:val="hybridMultilevel"/>
    <w:tmpl w:val="96C2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22932"/>
    <w:multiLevelType w:val="hybridMultilevel"/>
    <w:tmpl w:val="3A38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01EC1"/>
    <w:multiLevelType w:val="hybridMultilevel"/>
    <w:tmpl w:val="1F66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B4B"/>
    <w:multiLevelType w:val="hybridMultilevel"/>
    <w:tmpl w:val="01B49F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F9A"/>
    <w:multiLevelType w:val="hybridMultilevel"/>
    <w:tmpl w:val="AD2C0B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CA"/>
    <w:rsid w:val="000007C0"/>
    <w:rsid w:val="00005D5F"/>
    <w:rsid w:val="00010F2A"/>
    <w:rsid w:val="00013556"/>
    <w:rsid w:val="00023A45"/>
    <w:rsid w:val="000254EB"/>
    <w:rsid w:val="00055E02"/>
    <w:rsid w:val="00061AE0"/>
    <w:rsid w:val="00061CC1"/>
    <w:rsid w:val="00065BF8"/>
    <w:rsid w:val="000A2ACE"/>
    <w:rsid w:val="000A648E"/>
    <w:rsid w:val="000B5D30"/>
    <w:rsid w:val="000D09BF"/>
    <w:rsid w:val="000D67D6"/>
    <w:rsid w:val="000E1C20"/>
    <w:rsid w:val="000F18AD"/>
    <w:rsid w:val="000F73A6"/>
    <w:rsid w:val="00110EDF"/>
    <w:rsid w:val="00114089"/>
    <w:rsid w:val="0011672C"/>
    <w:rsid w:val="00127CA4"/>
    <w:rsid w:val="001331D5"/>
    <w:rsid w:val="00141B53"/>
    <w:rsid w:val="00142859"/>
    <w:rsid w:val="001719BA"/>
    <w:rsid w:val="00171DCA"/>
    <w:rsid w:val="001839E0"/>
    <w:rsid w:val="001915BE"/>
    <w:rsid w:val="001B182B"/>
    <w:rsid w:val="001B44E6"/>
    <w:rsid w:val="001C1AED"/>
    <w:rsid w:val="001F6DC9"/>
    <w:rsid w:val="00204500"/>
    <w:rsid w:val="002276AC"/>
    <w:rsid w:val="00234A79"/>
    <w:rsid w:val="00236141"/>
    <w:rsid w:val="0024239E"/>
    <w:rsid w:val="002446E3"/>
    <w:rsid w:val="002452FA"/>
    <w:rsid w:val="00245BF2"/>
    <w:rsid w:val="00251797"/>
    <w:rsid w:val="00253243"/>
    <w:rsid w:val="002627A7"/>
    <w:rsid w:val="00265D57"/>
    <w:rsid w:val="0026795B"/>
    <w:rsid w:val="00271149"/>
    <w:rsid w:val="002826F2"/>
    <w:rsid w:val="00285668"/>
    <w:rsid w:val="002900F3"/>
    <w:rsid w:val="00290FEC"/>
    <w:rsid w:val="00292663"/>
    <w:rsid w:val="002D6569"/>
    <w:rsid w:val="002E3830"/>
    <w:rsid w:val="00311E78"/>
    <w:rsid w:val="00321785"/>
    <w:rsid w:val="003223D0"/>
    <w:rsid w:val="003247F7"/>
    <w:rsid w:val="00327FD5"/>
    <w:rsid w:val="00332E9A"/>
    <w:rsid w:val="003467CA"/>
    <w:rsid w:val="00362161"/>
    <w:rsid w:val="003937CF"/>
    <w:rsid w:val="003B58F9"/>
    <w:rsid w:val="003E1E35"/>
    <w:rsid w:val="003F626E"/>
    <w:rsid w:val="00400604"/>
    <w:rsid w:val="00407BFB"/>
    <w:rsid w:val="0042787D"/>
    <w:rsid w:val="004304E0"/>
    <w:rsid w:val="00446CB9"/>
    <w:rsid w:val="004478E0"/>
    <w:rsid w:val="004568FA"/>
    <w:rsid w:val="00471F92"/>
    <w:rsid w:val="004822FA"/>
    <w:rsid w:val="004866B5"/>
    <w:rsid w:val="004A54B0"/>
    <w:rsid w:val="004B2872"/>
    <w:rsid w:val="004B484D"/>
    <w:rsid w:val="004D0732"/>
    <w:rsid w:val="004E0C4D"/>
    <w:rsid w:val="004E2AF0"/>
    <w:rsid w:val="004E4FC7"/>
    <w:rsid w:val="005043B0"/>
    <w:rsid w:val="00506E13"/>
    <w:rsid w:val="00517C0A"/>
    <w:rsid w:val="00527756"/>
    <w:rsid w:val="00530551"/>
    <w:rsid w:val="00552E55"/>
    <w:rsid w:val="005677FF"/>
    <w:rsid w:val="00582CC9"/>
    <w:rsid w:val="005B4749"/>
    <w:rsid w:val="005B625F"/>
    <w:rsid w:val="005B7C84"/>
    <w:rsid w:val="005C31BF"/>
    <w:rsid w:val="005D04F9"/>
    <w:rsid w:val="005D0CF4"/>
    <w:rsid w:val="005D1086"/>
    <w:rsid w:val="005F2F12"/>
    <w:rsid w:val="006058E3"/>
    <w:rsid w:val="00607BDC"/>
    <w:rsid w:val="00615478"/>
    <w:rsid w:val="0063429A"/>
    <w:rsid w:val="00640F3E"/>
    <w:rsid w:val="00643264"/>
    <w:rsid w:val="00646F74"/>
    <w:rsid w:val="0067522B"/>
    <w:rsid w:val="00680265"/>
    <w:rsid w:val="00684150"/>
    <w:rsid w:val="00696AA6"/>
    <w:rsid w:val="006E2DE4"/>
    <w:rsid w:val="0070439E"/>
    <w:rsid w:val="00715DE6"/>
    <w:rsid w:val="00717E05"/>
    <w:rsid w:val="00760AB0"/>
    <w:rsid w:val="00764D6D"/>
    <w:rsid w:val="007701C1"/>
    <w:rsid w:val="007711DB"/>
    <w:rsid w:val="00787DCD"/>
    <w:rsid w:val="007917B3"/>
    <w:rsid w:val="007E46DB"/>
    <w:rsid w:val="007E71D2"/>
    <w:rsid w:val="007F2E5E"/>
    <w:rsid w:val="007F555F"/>
    <w:rsid w:val="00853E0B"/>
    <w:rsid w:val="008574B8"/>
    <w:rsid w:val="00876E68"/>
    <w:rsid w:val="00877B9F"/>
    <w:rsid w:val="008806C3"/>
    <w:rsid w:val="00882C50"/>
    <w:rsid w:val="008A3CF4"/>
    <w:rsid w:val="008B6C5C"/>
    <w:rsid w:val="008C2310"/>
    <w:rsid w:val="008C739C"/>
    <w:rsid w:val="008D4DD5"/>
    <w:rsid w:val="008D6E0D"/>
    <w:rsid w:val="008E4718"/>
    <w:rsid w:val="009316A8"/>
    <w:rsid w:val="00937886"/>
    <w:rsid w:val="009715CE"/>
    <w:rsid w:val="00971BAE"/>
    <w:rsid w:val="00974A54"/>
    <w:rsid w:val="009929F4"/>
    <w:rsid w:val="009A4D8F"/>
    <w:rsid w:val="009B2239"/>
    <w:rsid w:val="009C1253"/>
    <w:rsid w:val="009E0CFA"/>
    <w:rsid w:val="009E6CA8"/>
    <w:rsid w:val="009E7BF0"/>
    <w:rsid w:val="00A00568"/>
    <w:rsid w:val="00A17F82"/>
    <w:rsid w:val="00A252A8"/>
    <w:rsid w:val="00A31737"/>
    <w:rsid w:val="00A337AB"/>
    <w:rsid w:val="00A431F0"/>
    <w:rsid w:val="00A70C9D"/>
    <w:rsid w:val="00A71722"/>
    <w:rsid w:val="00A71B68"/>
    <w:rsid w:val="00A81148"/>
    <w:rsid w:val="00A81290"/>
    <w:rsid w:val="00A90890"/>
    <w:rsid w:val="00A91B33"/>
    <w:rsid w:val="00AA5BE8"/>
    <w:rsid w:val="00AB166D"/>
    <w:rsid w:val="00AD1E86"/>
    <w:rsid w:val="00AD4A97"/>
    <w:rsid w:val="00AD7C5A"/>
    <w:rsid w:val="00AE034E"/>
    <w:rsid w:val="00B16E98"/>
    <w:rsid w:val="00B17E69"/>
    <w:rsid w:val="00B17F49"/>
    <w:rsid w:val="00B27F9A"/>
    <w:rsid w:val="00B30B6D"/>
    <w:rsid w:val="00B50A97"/>
    <w:rsid w:val="00B81E25"/>
    <w:rsid w:val="00B85BB9"/>
    <w:rsid w:val="00BA0E90"/>
    <w:rsid w:val="00BA460D"/>
    <w:rsid w:val="00BB3290"/>
    <w:rsid w:val="00BC0C26"/>
    <w:rsid w:val="00BC1BBF"/>
    <w:rsid w:val="00BC605B"/>
    <w:rsid w:val="00BE0AC5"/>
    <w:rsid w:val="00C023E8"/>
    <w:rsid w:val="00C029C5"/>
    <w:rsid w:val="00C07459"/>
    <w:rsid w:val="00C262D4"/>
    <w:rsid w:val="00C52EEF"/>
    <w:rsid w:val="00C5763C"/>
    <w:rsid w:val="00C73CF7"/>
    <w:rsid w:val="00C75DCE"/>
    <w:rsid w:val="00C76A7E"/>
    <w:rsid w:val="00C87DCE"/>
    <w:rsid w:val="00CB6490"/>
    <w:rsid w:val="00CC55AF"/>
    <w:rsid w:val="00CD1E73"/>
    <w:rsid w:val="00D052D8"/>
    <w:rsid w:val="00D15A4C"/>
    <w:rsid w:val="00D200E5"/>
    <w:rsid w:val="00D31282"/>
    <w:rsid w:val="00D36455"/>
    <w:rsid w:val="00D4351E"/>
    <w:rsid w:val="00D52966"/>
    <w:rsid w:val="00D60874"/>
    <w:rsid w:val="00D65FB1"/>
    <w:rsid w:val="00D81159"/>
    <w:rsid w:val="00D831D9"/>
    <w:rsid w:val="00D831E1"/>
    <w:rsid w:val="00D87F69"/>
    <w:rsid w:val="00D96C63"/>
    <w:rsid w:val="00DA6A04"/>
    <w:rsid w:val="00DB1516"/>
    <w:rsid w:val="00DC0235"/>
    <w:rsid w:val="00DC45A1"/>
    <w:rsid w:val="00DD62B1"/>
    <w:rsid w:val="00DD6E08"/>
    <w:rsid w:val="00DD7B77"/>
    <w:rsid w:val="00DE6BC2"/>
    <w:rsid w:val="00DF3E9F"/>
    <w:rsid w:val="00DF50C1"/>
    <w:rsid w:val="00E04775"/>
    <w:rsid w:val="00E13432"/>
    <w:rsid w:val="00E242AA"/>
    <w:rsid w:val="00E7255B"/>
    <w:rsid w:val="00E73B9F"/>
    <w:rsid w:val="00E8018D"/>
    <w:rsid w:val="00E81A25"/>
    <w:rsid w:val="00E829F3"/>
    <w:rsid w:val="00E95455"/>
    <w:rsid w:val="00EA53D4"/>
    <w:rsid w:val="00EB6C10"/>
    <w:rsid w:val="00EC2976"/>
    <w:rsid w:val="00EE32B2"/>
    <w:rsid w:val="00F0094D"/>
    <w:rsid w:val="00F22890"/>
    <w:rsid w:val="00F233FB"/>
    <w:rsid w:val="00F40602"/>
    <w:rsid w:val="00F40CFD"/>
    <w:rsid w:val="00F41364"/>
    <w:rsid w:val="00F47806"/>
    <w:rsid w:val="00F72390"/>
    <w:rsid w:val="00FA1146"/>
    <w:rsid w:val="00FA1736"/>
    <w:rsid w:val="00FD2F76"/>
    <w:rsid w:val="00FD494A"/>
    <w:rsid w:val="00FE4EFC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98ECBE4"/>
  <w15:docId w15:val="{84E42592-8EA4-4992-9ACB-39F84D0D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F1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C5A"/>
    <w:tblPr/>
  </w:style>
  <w:style w:type="paragraph" w:styleId="Header">
    <w:name w:val="header"/>
    <w:basedOn w:val="Normal"/>
    <w:link w:val="HeaderChar"/>
    <w:uiPriority w:val="99"/>
    <w:rsid w:val="00876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6E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E68"/>
  </w:style>
  <w:style w:type="character" w:customStyle="1" w:styleId="Heading1Char">
    <w:name w:val="Heading 1 Char"/>
    <w:basedOn w:val="DefaultParagraphFont"/>
    <w:link w:val="Heading1"/>
    <w:uiPriority w:val="9"/>
    <w:rsid w:val="005F2F12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F12"/>
    <w:rPr>
      <w:rFonts w:ascii="Book Antiqua" w:hAnsi="Book Antiqu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F2F12"/>
    <w:rPr>
      <w:rFonts w:ascii="Book Antiqua" w:hAnsi="Book Antiqu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F2F12"/>
    <w:pPr>
      <w:tabs>
        <w:tab w:val="left" w:pos="900"/>
      </w:tabs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F2F12"/>
    <w:rPr>
      <w:sz w:val="22"/>
    </w:rPr>
  </w:style>
  <w:style w:type="paragraph" w:styleId="BalloonText">
    <w:name w:val="Balloon Text"/>
    <w:basedOn w:val="Normal"/>
    <w:link w:val="BalloonTextChar"/>
    <w:rsid w:val="00A81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1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75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5DCE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C7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DCE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FE7F1A"/>
    <w:pPr>
      <w:ind w:left="720"/>
      <w:contextualSpacing/>
    </w:pPr>
  </w:style>
  <w:style w:type="character" w:styleId="Hyperlink">
    <w:name w:val="Hyperlink"/>
    <w:basedOn w:val="DefaultParagraphFont"/>
    <w:unhideWhenUsed/>
    <w:rsid w:val="003467CA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608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608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608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08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E9545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46F7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0135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rul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p.state.fl.us/water/drinkingwater/form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SID=686304ecb34f9a21cd1ecf0612f465e6&amp;mc=true&amp;node=sp40.23.141.y&amp;rgn=div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B5C6-D1D8-497F-87B3-470BDB81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FLDEP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Petry, Joni</dc:creator>
  <cp:lastModifiedBy>Tierney, Shane</cp:lastModifiedBy>
  <cp:revision>2</cp:revision>
  <cp:lastPrinted>2016-02-26T13:42:00Z</cp:lastPrinted>
  <dcterms:created xsi:type="dcterms:W3CDTF">2022-03-15T14:02:00Z</dcterms:created>
  <dcterms:modified xsi:type="dcterms:W3CDTF">2022-03-15T14:02:00Z</dcterms:modified>
</cp:coreProperties>
</file>